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0B" w:rsidRPr="00DC7D0B" w:rsidRDefault="004810B8" w:rsidP="00383F1D">
      <w:pPr>
        <w:jc w:val="right"/>
        <w:rPr>
          <w:b/>
          <w:bCs/>
          <w:sz w:val="28"/>
          <w:szCs w:val="28"/>
        </w:rPr>
      </w:pPr>
      <w:r w:rsidRPr="00DC7D0B">
        <w:rPr>
          <w:b/>
          <w:bCs/>
          <w:sz w:val="28"/>
          <w:szCs w:val="28"/>
        </w:rPr>
        <w:t>Appendix B</w:t>
      </w:r>
    </w:p>
    <w:p w:rsidR="0040630B" w:rsidRDefault="0040630B" w:rsidP="0040630B">
      <w:pPr>
        <w:jc w:val="right"/>
        <w:rPr>
          <w:b/>
          <w:bCs/>
        </w:rPr>
      </w:pPr>
    </w:p>
    <w:p w:rsidR="0040630B" w:rsidRDefault="0040630B" w:rsidP="0040630B">
      <w:pPr>
        <w:pBdr>
          <w:bottom w:val="single" w:sz="12" w:space="1" w:color="auto"/>
        </w:pBdr>
        <w:rPr>
          <w:b/>
          <w:bCs/>
          <w:sz w:val="28"/>
          <w:szCs w:val="28"/>
        </w:rPr>
      </w:pPr>
      <w:r>
        <w:rPr>
          <w:b/>
          <w:bCs/>
          <w:sz w:val="28"/>
          <w:szCs w:val="28"/>
        </w:rPr>
        <w:t xml:space="preserve">The </w:t>
      </w:r>
      <w:r w:rsidR="00F25AD0">
        <w:rPr>
          <w:b/>
          <w:bCs/>
          <w:sz w:val="28"/>
          <w:szCs w:val="28"/>
        </w:rPr>
        <w:t>County Council</w:t>
      </w:r>
      <w:r>
        <w:rPr>
          <w:b/>
          <w:bCs/>
          <w:sz w:val="28"/>
          <w:szCs w:val="28"/>
        </w:rPr>
        <w:t>'s Treasury Management Strategy 201</w:t>
      </w:r>
      <w:r w:rsidR="004F49D6">
        <w:rPr>
          <w:b/>
          <w:bCs/>
          <w:sz w:val="28"/>
          <w:szCs w:val="28"/>
        </w:rPr>
        <w:t>6</w:t>
      </w:r>
      <w:r>
        <w:rPr>
          <w:b/>
          <w:bCs/>
          <w:sz w:val="28"/>
          <w:szCs w:val="28"/>
        </w:rPr>
        <w:t>/</w:t>
      </w:r>
      <w:r w:rsidR="00822F06">
        <w:rPr>
          <w:b/>
          <w:bCs/>
          <w:sz w:val="28"/>
          <w:szCs w:val="28"/>
        </w:rPr>
        <w:t>1</w:t>
      </w:r>
      <w:r w:rsidR="004F49D6">
        <w:rPr>
          <w:b/>
          <w:bCs/>
          <w:sz w:val="28"/>
          <w:szCs w:val="28"/>
        </w:rPr>
        <w:t>7</w:t>
      </w:r>
    </w:p>
    <w:p w:rsidR="0040630B" w:rsidRDefault="0040630B" w:rsidP="0040630B">
      <w:pPr>
        <w:rPr>
          <w:b/>
          <w:bCs/>
        </w:rPr>
      </w:pPr>
    </w:p>
    <w:p w:rsidR="0040630B" w:rsidRPr="005262E1" w:rsidRDefault="004A19C1" w:rsidP="005262E1">
      <w:pPr>
        <w:pStyle w:val="ListParagraph"/>
        <w:numPr>
          <w:ilvl w:val="0"/>
          <w:numId w:val="36"/>
        </w:numPr>
        <w:rPr>
          <w:b/>
          <w:bCs/>
          <w:sz w:val="28"/>
          <w:szCs w:val="28"/>
        </w:rPr>
      </w:pPr>
      <w:r w:rsidRPr="005262E1">
        <w:rPr>
          <w:b/>
          <w:bCs/>
          <w:sz w:val="28"/>
          <w:szCs w:val="28"/>
        </w:rPr>
        <w:t>Introduction and Legislative Framework</w:t>
      </w:r>
    </w:p>
    <w:p w:rsidR="0040630B" w:rsidRDefault="0040630B" w:rsidP="00025990"/>
    <w:p w:rsidR="00633767" w:rsidRPr="001143BB" w:rsidRDefault="00382F7B" w:rsidP="00633767">
      <w:pPr>
        <w:jc w:val="both"/>
      </w:pPr>
      <w:r w:rsidRPr="001143BB">
        <w:t>Under the Local Government Act 2003, lo</w:t>
      </w:r>
      <w:r w:rsidR="00800801" w:rsidRPr="001143BB">
        <w:t>c</w:t>
      </w:r>
      <w:r w:rsidRPr="001143BB">
        <w:t>al authorities must</w:t>
      </w:r>
      <w:r w:rsidR="008C3C8B" w:rsidRPr="001143BB">
        <w:t xml:space="preserve"> have regard to Statutory Proper Practices in their Treasury Management activities. </w:t>
      </w:r>
      <w:r w:rsidR="00633767" w:rsidRPr="001143BB">
        <w:t>In</w:t>
      </w:r>
      <w:r w:rsidR="00633767" w:rsidRPr="001143BB">
        <w:rPr>
          <w:i/>
          <w:lang w:eastAsia="en-US"/>
        </w:rPr>
        <w:t xml:space="preserve"> </w:t>
      </w:r>
      <w:r w:rsidR="00633767" w:rsidRPr="001143BB">
        <w:rPr>
          <w:lang w:eastAsia="en-US"/>
        </w:rPr>
        <w:t>February 2012</w:t>
      </w:r>
      <w:r w:rsidR="00633767" w:rsidRPr="001143BB">
        <w:t xml:space="preserve"> the Council adopted the Chartered Institute of Public Finance and Accountancy’s</w:t>
      </w:r>
      <w:r w:rsidR="00633767" w:rsidRPr="001143BB">
        <w:rPr>
          <w:i/>
        </w:rPr>
        <w:t xml:space="preserve"> Treasury Management in the </w:t>
      </w:r>
      <w:r w:rsidR="00633767" w:rsidRPr="005262E1">
        <w:rPr>
          <w:i/>
        </w:rPr>
        <w:t>Public Services: Code of Practice 2011</w:t>
      </w:r>
      <w:r w:rsidR="00633767" w:rsidRPr="001143BB">
        <w:rPr>
          <w:i/>
        </w:rPr>
        <w:t xml:space="preserve"> Edition </w:t>
      </w:r>
      <w:r w:rsidR="00633767" w:rsidRPr="001143BB">
        <w:t xml:space="preserve">(the CIPFA Code.) </w:t>
      </w:r>
    </w:p>
    <w:p w:rsidR="004810B8" w:rsidRPr="001143BB" w:rsidRDefault="008C3C8B" w:rsidP="00D635B5">
      <w:pPr>
        <w:jc w:val="both"/>
      </w:pPr>
      <w:r w:rsidRPr="001143BB">
        <w:t xml:space="preserve">These together require the </w:t>
      </w:r>
      <w:r w:rsidR="00827BB2">
        <w:t>C</w:t>
      </w:r>
      <w:r w:rsidR="00F25AD0">
        <w:t xml:space="preserve">ounty </w:t>
      </w:r>
      <w:r w:rsidR="00827BB2">
        <w:t>C</w:t>
      </w:r>
      <w:r w:rsidR="00F25AD0">
        <w:t>ouncil</w:t>
      </w:r>
      <w:r w:rsidRPr="001143BB">
        <w:t xml:space="preserve"> to set out its strategy in relation to key aspects of its treasury management operations </w:t>
      </w:r>
      <w:r w:rsidR="003D6797">
        <w:t>on an annual basis.</w:t>
      </w:r>
    </w:p>
    <w:p w:rsidR="00633767" w:rsidRPr="001143BB" w:rsidRDefault="00633767" w:rsidP="00633767">
      <w:pPr>
        <w:jc w:val="both"/>
      </w:pPr>
    </w:p>
    <w:p w:rsidR="00633767" w:rsidRPr="001143BB" w:rsidRDefault="00633767" w:rsidP="00633767">
      <w:pPr>
        <w:jc w:val="both"/>
      </w:pPr>
      <w:r w:rsidRPr="005262E1">
        <w:t xml:space="preserve">In addition, the Department for Communities and Local Government (CLG) issued revised guidance on local authority investments in March 2010 that requires </w:t>
      </w:r>
      <w:r w:rsidR="003D6797">
        <w:t>the County Council to</w:t>
      </w:r>
      <w:r w:rsidR="003D6797" w:rsidRPr="005262E1">
        <w:t xml:space="preserve"> </w:t>
      </w:r>
      <w:r w:rsidR="003D6797">
        <w:t>a</w:t>
      </w:r>
      <w:r w:rsidRPr="005262E1">
        <w:t>pprov</w:t>
      </w:r>
      <w:r w:rsidR="003D6797">
        <w:t>e</w:t>
      </w:r>
      <w:r w:rsidRPr="005262E1">
        <w:t xml:space="preserve"> an investment strategy before the start of each financial year.</w:t>
      </w:r>
      <w:r w:rsidR="00536D86" w:rsidRPr="005262E1">
        <w:t xml:space="preserve"> The strategy also has regard to other CIPFA treasury management publications such as</w:t>
      </w:r>
      <w:r w:rsidR="003D6797">
        <w:t xml:space="preserve"> risk management in </w:t>
      </w:r>
      <w:r w:rsidR="00536D86" w:rsidRPr="005262E1">
        <w:t xml:space="preserve">'Treasury </w:t>
      </w:r>
      <w:r w:rsidR="00827BB2">
        <w:t>Risk</w:t>
      </w:r>
      <w:r w:rsidR="00536D86" w:rsidRPr="005262E1">
        <w:t xml:space="preserve"> Toolkit for Local Authorities' (2012) and</w:t>
      </w:r>
      <w:r w:rsidR="003D6797">
        <w:t xml:space="preserve"> the use of derivatives in</w:t>
      </w:r>
      <w:r w:rsidR="00536D86" w:rsidRPr="005262E1">
        <w:t xml:space="preserve"> 'Using Financial Instruments to Manage Risk' (2013</w:t>
      </w:r>
      <w:r w:rsidR="003D6797">
        <w:t>.</w:t>
      </w:r>
      <w:r w:rsidR="00536D86" w:rsidRPr="005262E1">
        <w:t>)</w:t>
      </w:r>
    </w:p>
    <w:p w:rsidR="00633767" w:rsidRPr="001143BB" w:rsidRDefault="00633767" w:rsidP="00025990"/>
    <w:p w:rsidR="004810B8" w:rsidRPr="001143BB" w:rsidRDefault="008C3C8B" w:rsidP="00025990">
      <w:r w:rsidRPr="001143BB">
        <w:t>In line with these various requirements this</w:t>
      </w:r>
      <w:r w:rsidR="004810B8" w:rsidRPr="001143BB">
        <w:t xml:space="preserve"> strategy includes:</w:t>
      </w:r>
    </w:p>
    <w:p w:rsidR="004810B8" w:rsidRPr="001143BB" w:rsidRDefault="004810B8" w:rsidP="00025990"/>
    <w:p w:rsidR="00D8240B" w:rsidRPr="001143BB" w:rsidRDefault="004810B8" w:rsidP="00574AC0">
      <w:pPr>
        <w:pStyle w:val="ListParagraph"/>
        <w:numPr>
          <w:ilvl w:val="0"/>
          <w:numId w:val="3"/>
        </w:numPr>
      </w:pPr>
      <w:r w:rsidRPr="001143BB">
        <w:t>The Annual Borrowing Strategy</w:t>
      </w:r>
    </w:p>
    <w:p w:rsidR="00D8240B" w:rsidRPr="001143BB" w:rsidRDefault="00D8240B" w:rsidP="00574AC0">
      <w:pPr>
        <w:pStyle w:val="ListParagraph"/>
        <w:numPr>
          <w:ilvl w:val="0"/>
          <w:numId w:val="3"/>
        </w:numPr>
      </w:pPr>
      <w:r w:rsidRPr="001143BB">
        <w:t>The Council's Policy on Borrowing in Advance of Need</w:t>
      </w:r>
      <w:r w:rsidR="006E328C">
        <w:t xml:space="preserve"> </w:t>
      </w:r>
    </w:p>
    <w:p w:rsidR="004810B8" w:rsidRDefault="004810B8" w:rsidP="00574AC0">
      <w:pPr>
        <w:pStyle w:val="ListParagraph"/>
        <w:numPr>
          <w:ilvl w:val="0"/>
          <w:numId w:val="3"/>
        </w:numPr>
      </w:pPr>
      <w:r w:rsidRPr="001143BB">
        <w:t>The Annual Investment Strategy</w:t>
      </w:r>
      <w:r w:rsidR="006E328C">
        <w:t xml:space="preserve"> </w:t>
      </w:r>
    </w:p>
    <w:p w:rsidR="006E328C" w:rsidRPr="001143BB" w:rsidRDefault="006E328C" w:rsidP="00574AC0">
      <w:pPr>
        <w:pStyle w:val="ListParagraph"/>
        <w:numPr>
          <w:ilvl w:val="0"/>
          <w:numId w:val="3"/>
        </w:numPr>
      </w:pPr>
      <w:r>
        <w:t>Policy on Use of Financial Derivatives</w:t>
      </w:r>
    </w:p>
    <w:p w:rsidR="00D357A7" w:rsidRDefault="00D8240B">
      <w:pPr>
        <w:pStyle w:val="ListParagraph"/>
        <w:numPr>
          <w:ilvl w:val="0"/>
          <w:numId w:val="3"/>
        </w:numPr>
      </w:pPr>
      <w:r w:rsidRPr="001143BB">
        <w:t xml:space="preserve">The Prudential Indicators </w:t>
      </w:r>
      <w:r w:rsidR="00D357A7">
        <w:t>(Annex A to this Appendix)</w:t>
      </w:r>
    </w:p>
    <w:p w:rsidR="00D357A7" w:rsidRDefault="00D357A7" w:rsidP="00574AC0">
      <w:pPr>
        <w:pStyle w:val="ListParagraph"/>
        <w:numPr>
          <w:ilvl w:val="0"/>
          <w:numId w:val="3"/>
        </w:numPr>
      </w:pPr>
      <w:r>
        <w:t>The Annual MRP statement (Appendix C to this report.)</w:t>
      </w:r>
    </w:p>
    <w:p w:rsidR="004810B8" w:rsidRPr="001143BB" w:rsidRDefault="004810B8" w:rsidP="00025990"/>
    <w:p w:rsidR="0040630B" w:rsidRPr="001143BB" w:rsidRDefault="004810B8" w:rsidP="00D635B5">
      <w:pPr>
        <w:jc w:val="both"/>
      </w:pPr>
      <w:r w:rsidRPr="001143BB">
        <w:t xml:space="preserve">In conjunction with the </w:t>
      </w:r>
      <w:r w:rsidR="004235DB">
        <w:t>t</w:t>
      </w:r>
      <w:r w:rsidRPr="001143BB">
        <w:t xml:space="preserve">reasury </w:t>
      </w:r>
      <w:r w:rsidR="004235DB">
        <w:t>m</w:t>
      </w:r>
      <w:r w:rsidRPr="001143BB">
        <w:t xml:space="preserve">anagement </w:t>
      </w:r>
      <w:r w:rsidR="004235DB">
        <w:t>p</w:t>
      </w:r>
      <w:r w:rsidRPr="001143BB">
        <w:t xml:space="preserve">olicy </w:t>
      </w:r>
      <w:r w:rsidR="004235DB">
        <w:t>s</w:t>
      </w:r>
      <w:r w:rsidRPr="001143BB">
        <w:t xml:space="preserve">tatement and the detailed </w:t>
      </w:r>
      <w:r w:rsidR="004235DB">
        <w:t>t</w:t>
      </w:r>
      <w:r w:rsidRPr="001143BB">
        <w:t xml:space="preserve">reasury </w:t>
      </w:r>
      <w:r w:rsidR="004235DB">
        <w:t>m</w:t>
      </w:r>
      <w:r w:rsidRPr="001143BB">
        <w:t xml:space="preserve">anagement </w:t>
      </w:r>
      <w:r w:rsidR="004235DB">
        <w:t>p</w:t>
      </w:r>
      <w:r w:rsidRPr="001143BB">
        <w:t xml:space="preserve">ractices </w:t>
      </w:r>
      <w:r w:rsidR="002465A9" w:rsidRPr="001143BB">
        <w:t xml:space="preserve">approved </w:t>
      </w:r>
      <w:r w:rsidRPr="001143BB">
        <w:t xml:space="preserve">by the </w:t>
      </w:r>
      <w:r w:rsidR="00301C0B">
        <w:t>section 151 officer</w:t>
      </w:r>
      <w:r w:rsidR="002465A9" w:rsidRPr="001143BB">
        <w:t>,</w:t>
      </w:r>
      <w:r w:rsidRPr="001143BB">
        <w:t xml:space="preserve"> these </w:t>
      </w:r>
      <w:r w:rsidR="008C3C8B" w:rsidRPr="001143BB">
        <w:t>provide</w:t>
      </w:r>
      <w:r w:rsidRPr="001143BB">
        <w:t xml:space="preserve"> the policy framework for the engagement of the </w:t>
      </w:r>
      <w:r w:rsidR="003D6797">
        <w:t>C</w:t>
      </w:r>
      <w:r w:rsidR="00F25AD0">
        <w:t xml:space="preserve">ounty </w:t>
      </w:r>
      <w:r w:rsidR="003D6797">
        <w:t>C</w:t>
      </w:r>
      <w:r w:rsidR="00F25AD0">
        <w:t>ouncil</w:t>
      </w:r>
      <w:r w:rsidRPr="001143BB">
        <w:t xml:space="preserve"> with the financial markets in order to fund its capital investment programme</w:t>
      </w:r>
      <w:r w:rsidR="003D6797">
        <w:t>,</w:t>
      </w:r>
      <w:r w:rsidRPr="001143BB">
        <w:t xml:space="preserve"> maintain the </w:t>
      </w:r>
      <w:r w:rsidR="00382F7B" w:rsidRPr="001143BB">
        <w:t xml:space="preserve">security </w:t>
      </w:r>
      <w:r w:rsidRPr="001143BB">
        <w:t>of its cash balances</w:t>
      </w:r>
      <w:r w:rsidR="003D6797">
        <w:t xml:space="preserve"> and protect them and ultimately the County Council's operations from credit, liquidity, inflation and interest rate risk.</w:t>
      </w:r>
    </w:p>
    <w:p w:rsidR="007B4EF5" w:rsidRPr="001143BB" w:rsidRDefault="007B4EF5" w:rsidP="00025990">
      <w:pPr>
        <w:jc w:val="both"/>
        <w:rPr>
          <w:highlight w:val="yellow"/>
        </w:rPr>
      </w:pPr>
    </w:p>
    <w:p w:rsidR="0011617A" w:rsidRPr="001143BB" w:rsidRDefault="0011617A" w:rsidP="00025990">
      <w:pPr>
        <w:jc w:val="both"/>
        <w:rPr>
          <w:highlight w:val="yellow"/>
        </w:rPr>
      </w:pPr>
    </w:p>
    <w:p w:rsidR="007B4EF5" w:rsidRPr="00F861B8" w:rsidRDefault="004A19C1" w:rsidP="00974969">
      <w:pPr>
        <w:pStyle w:val="ListParagraph"/>
        <w:numPr>
          <w:ilvl w:val="0"/>
          <w:numId w:val="36"/>
        </w:numPr>
        <w:rPr>
          <w:b/>
          <w:sz w:val="28"/>
          <w:szCs w:val="28"/>
        </w:rPr>
      </w:pPr>
      <w:r w:rsidRPr="0013604C">
        <w:rPr>
          <w:b/>
          <w:bCs/>
          <w:sz w:val="28"/>
          <w:szCs w:val="28"/>
        </w:rPr>
        <w:t>Strategic</w:t>
      </w:r>
      <w:r w:rsidRPr="0013604C">
        <w:rPr>
          <w:b/>
          <w:sz w:val="28"/>
          <w:szCs w:val="28"/>
        </w:rPr>
        <w:t xml:space="preserve"> Objectives</w:t>
      </w:r>
      <w:r w:rsidR="002D3D61" w:rsidRPr="0013604C">
        <w:rPr>
          <w:b/>
          <w:sz w:val="28"/>
          <w:szCs w:val="28"/>
        </w:rPr>
        <w:t xml:space="preserve"> of the Treasury Management Strategy</w:t>
      </w:r>
    </w:p>
    <w:p w:rsidR="007B4EF5" w:rsidRPr="001143BB" w:rsidRDefault="007B4EF5" w:rsidP="00025990">
      <w:pPr>
        <w:jc w:val="both"/>
      </w:pPr>
    </w:p>
    <w:p w:rsidR="007B4EF5" w:rsidRPr="001143BB" w:rsidRDefault="007B4EF5" w:rsidP="00025990">
      <w:pPr>
        <w:jc w:val="both"/>
      </w:pPr>
      <w:r w:rsidRPr="001143BB">
        <w:t xml:space="preserve">The </w:t>
      </w:r>
      <w:r w:rsidR="004235DB">
        <w:t>C</w:t>
      </w:r>
      <w:r w:rsidR="00F25AD0">
        <w:t xml:space="preserve">ounty </w:t>
      </w:r>
      <w:r w:rsidR="004235DB">
        <w:t>C</w:t>
      </w:r>
      <w:r w:rsidR="00F25AD0">
        <w:t>ouncil</w:t>
      </w:r>
      <w:r w:rsidRPr="001143BB">
        <w:t xml:space="preserve">'s </w:t>
      </w:r>
      <w:r w:rsidR="004235DB">
        <w:t>t</w:t>
      </w:r>
      <w:r w:rsidRPr="001143BB">
        <w:t xml:space="preserve">reasury </w:t>
      </w:r>
      <w:r w:rsidR="004235DB">
        <w:t>m</w:t>
      </w:r>
      <w:r w:rsidRPr="001143BB">
        <w:t xml:space="preserve">anagement </w:t>
      </w:r>
      <w:r w:rsidR="004235DB">
        <w:t>s</w:t>
      </w:r>
      <w:r w:rsidRPr="001143BB">
        <w:t xml:space="preserve">trategy is </w:t>
      </w:r>
      <w:r w:rsidR="00382F7B" w:rsidRPr="001143BB">
        <w:t xml:space="preserve">designed </w:t>
      </w:r>
      <w:r w:rsidRPr="001143BB">
        <w:t>to achieve the following objectives:</w:t>
      </w:r>
    </w:p>
    <w:p w:rsidR="007B4EF5" w:rsidRPr="001143BB" w:rsidRDefault="007B4EF5" w:rsidP="00025990">
      <w:pPr>
        <w:jc w:val="both"/>
      </w:pPr>
    </w:p>
    <w:p w:rsidR="007B4EF5" w:rsidRPr="001143BB" w:rsidRDefault="007B4EF5" w:rsidP="00574AC0">
      <w:pPr>
        <w:pStyle w:val="ListParagraph"/>
        <w:numPr>
          <w:ilvl w:val="0"/>
          <w:numId w:val="4"/>
        </w:numPr>
        <w:jc w:val="both"/>
      </w:pPr>
      <w:r w:rsidRPr="001143BB">
        <w:t xml:space="preserve">To ensure the security of the principal sums invested which represent the </w:t>
      </w:r>
      <w:r w:rsidR="004235DB">
        <w:t>C</w:t>
      </w:r>
      <w:r w:rsidR="00F25AD0">
        <w:t xml:space="preserve">ounty </w:t>
      </w:r>
      <w:r w:rsidR="004235DB">
        <w:t>C</w:t>
      </w:r>
      <w:r w:rsidR="00F25AD0">
        <w:t>ouncil</w:t>
      </w:r>
      <w:r w:rsidRPr="001143BB">
        <w:t>'s various reserves and balances</w:t>
      </w:r>
    </w:p>
    <w:p w:rsidR="007B4EF5" w:rsidRPr="001143BB" w:rsidRDefault="007B4EF5" w:rsidP="00574AC0">
      <w:pPr>
        <w:pStyle w:val="ListParagraph"/>
        <w:numPr>
          <w:ilvl w:val="0"/>
          <w:numId w:val="4"/>
        </w:numPr>
        <w:jc w:val="both"/>
      </w:pPr>
      <w:r w:rsidRPr="001143BB">
        <w:t xml:space="preserve">To ensure that the </w:t>
      </w:r>
      <w:r w:rsidR="004235DB">
        <w:t>C</w:t>
      </w:r>
      <w:r w:rsidR="00F25AD0">
        <w:t xml:space="preserve">ounty </w:t>
      </w:r>
      <w:r w:rsidR="004235DB">
        <w:t>C</w:t>
      </w:r>
      <w:r w:rsidR="00F25AD0">
        <w:t>ouncil</w:t>
      </w:r>
      <w:r w:rsidRPr="001143BB">
        <w:t xml:space="preserve"> has access to cash resources as and when required</w:t>
      </w:r>
    </w:p>
    <w:p w:rsidR="00800801" w:rsidRPr="0090224E" w:rsidRDefault="00800801" w:rsidP="00800801">
      <w:pPr>
        <w:pStyle w:val="ListParagraph"/>
        <w:numPr>
          <w:ilvl w:val="0"/>
          <w:numId w:val="4"/>
        </w:numPr>
        <w:jc w:val="both"/>
      </w:pPr>
      <w:r w:rsidRPr="0090224E">
        <w:t xml:space="preserve">To minimise the cost of the borrowing required to finance the </w:t>
      </w:r>
      <w:r w:rsidR="004235DB" w:rsidRPr="0090224E">
        <w:t>C</w:t>
      </w:r>
      <w:r w:rsidR="00F25AD0" w:rsidRPr="0090224E">
        <w:t xml:space="preserve">ounty </w:t>
      </w:r>
      <w:r w:rsidR="004235DB" w:rsidRPr="0090224E">
        <w:t>C</w:t>
      </w:r>
      <w:r w:rsidR="00F25AD0" w:rsidRPr="0090224E">
        <w:t>ouncil</w:t>
      </w:r>
      <w:r w:rsidRPr="0090224E">
        <w:t xml:space="preserve">'s </w:t>
      </w:r>
      <w:r w:rsidR="004235DB" w:rsidRPr="0090224E">
        <w:t>c</w:t>
      </w:r>
      <w:r w:rsidRPr="0090224E">
        <w:t xml:space="preserve">apital </w:t>
      </w:r>
      <w:r w:rsidR="004235DB" w:rsidRPr="0090224E">
        <w:t>i</w:t>
      </w:r>
      <w:r w:rsidRPr="0090224E">
        <w:t>nvestment programme, and</w:t>
      </w:r>
      <w:r w:rsidR="00C66288" w:rsidRPr="0090224E">
        <w:t xml:space="preserve"> manage interest rate inflation</w:t>
      </w:r>
      <w:r w:rsidR="00FD0E3C" w:rsidRPr="0090224E">
        <w:t xml:space="preserve"> rate</w:t>
      </w:r>
      <w:r w:rsidR="00C66288" w:rsidRPr="0090224E">
        <w:t xml:space="preserve"> risks appropriately.</w:t>
      </w:r>
    </w:p>
    <w:p w:rsidR="007B4EF5" w:rsidRDefault="007B4EF5" w:rsidP="00383F1D">
      <w:pPr>
        <w:pStyle w:val="ListParagraph"/>
        <w:numPr>
          <w:ilvl w:val="0"/>
          <w:numId w:val="4"/>
        </w:numPr>
        <w:jc w:val="both"/>
      </w:pPr>
      <w:r w:rsidRPr="001143BB">
        <w:lastRenderedPageBreak/>
        <w:t xml:space="preserve">To </w:t>
      </w:r>
      <w:r w:rsidR="005F7FAC" w:rsidRPr="001143BB">
        <w:t>maximise</w:t>
      </w:r>
      <w:r w:rsidRPr="001143BB">
        <w:t xml:space="preserve"> investment returns commensurate with </w:t>
      </w:r>
      <w:r w:rsidR="005F7FAC" w:rsidRPr="001143BB">
        <w:t xml:space="preserve">the </w:t>
      </w:r>
      <w:r w:rsidR="004235DB">
        <w:t>C</w:t>
      </w:r>
      <w:r w:rsidR="00F25AD0">
        <w:t xml:space="preserve">ounty </w:t>
      </w:r>
      <w:r w:rsidR="004235DB">
        <w:t>C</w:t>
      </w:r>
      <w:r w:rsidR="00F25AD0">
        <w:t>ouncil</w:t>
      </w:r>
      <w:r w:rsidR="005F7FAC" w:rsidRPr="001143BB">
        <w:t xml:space="preserve">'s policy of </w:t>
      </w:r>
      <w:r w:rsidRPr="001143BB">
        <w:t xml:space="preserve">minimising </w:t>
      </w:r>
      <w:r w:rsidR="0011617A" w:rsidRPr="001143BB">
        <w:t>risks to the security of capital and its liquidity position.</w:t>
      </w:r>
    </w:p>
    <w:p w:rsidR="00C66288" w:rsidRPr="001143BB" w:rsidRDefault="00C66288" w:rsidP="00383F1D">
      <w:pPr>
        <w:pStyle w:val="ListParagraph"/>
        <w:jc w:val="both"/>
      </w:pPr>
    </w:p>
    <w:p w:rsidR="00DB40D8" w:rsidRPr="001143BB" w:rsidRDefault="007B4EF5" w:rsidP="00383F1D">
      <w:pPr>
        <w:jc w:val="both"/>
      </w:pPr>
      <w:r w:rsidRPr="00A81D19">
        <w:t>In the context of these objectives it will be the</w:t>
      </w:r>
      <w:r w:rsidR="00F637E1" w:rsidRPr="00A81D19">
        <w:t xml:space="preserve"> </w:t>
      </w:r>
      <w:r w:rsidR="004235DB">
        <w:t>C</w:t>
      </w:r>
      <w:r w:rsidR="00F25AD0">
        <w:t xml:space="preserve">ounty </w:t>
      </w:r>
      <w:r w:rsidR="004235DB">
        <w:t>C</w:t>
      </w:r>
      <w:r w:rsidR="00F25AD0">
        <w:t>ouncil</w:t>
      </w:r>
      <w:r w:rsidRPr="00A81D19">
        <w:t>'s policy to hold as investments a sum as close to the cash value of its balance sheet as possible</w:t>
      </w:r>
      <w:r w:rsidR="00382F7B" w:rsidRPr="00FF698E">
        <w:t>, matching both value and duration as closely as possible</w:t>
      </w:r>
      <w:r w:rsidRPr="00272267">
        <w:t>.</w:t>
      </w:r>
    </w:p>
    <w:p w:rsidR="00025990" w:rsidRPr="001143BB" w:rsidRDefault="00025990" w:rsidP="00383F1D">
      <w:pPr>
        <w:rPr>
          <w:highlight w:val="yellow"/>
        </w:rPr>
      </w:pPr>
    </w:p>
    <w:p w:rsidR="0040630B" w:rsidRPr="001143BB" w:rsidRDefault="00D93999" w:rsidP="00383F1D">
      <w:pPr>
        <w:pStyle w:val="ListParagraph"/>
        <w:numPr>
          <w:ilvl w:val="0"/>
          <w:numId w:val="36"/>
        </w:numPr>
        <w:rPr>
          <w:b/>
          <w:bCs/>
          <w:sz w:val="28"/>
          <w:szCs w:val="28"/>
        </w:rPr>
      </w:pPr>
      <w:r w:rsidRPr="001143BB">
        <w:rPr>
          <w:b/>
          <w:bCs/>
          <w:sz w:val="28"/>
          <w:szCs w:val="28"/>
        </w:rPr>
        <w:t xml:space="preserve">Setting the Treasury Management Strategy for </w:t>
      </w:r>
      <w:r w:rsidR="00D357A7" w:rsidRPr="001143BB">
        <w:rPr>
          <w:b/>
          <w:bCs/>
          <w:sz w:val="28"/>
          <w:szCs w:val="28"/>
        </w:rPr>
        <w:t>201</w:t>
      </w:r>
      <w:r w:rsidR="004F49D6">
        <w:rPr>
          <w:b/>
          <w:bCs/>
          <w:sz w:val="28"/>
          <w:szCs w:val="28"/>
        </w:rPr>
        <w:t>6</w:t>
      </w:r>
      <w:r w:rsidRPr="001143BB">
        <w:rPr>
          <w:b/>
          <w:bCs/>
          <w:sz w:val="28"/>
          <w:szCs w:val="28"/>
        </w:rPr>
        <w:t>/1</w:t>
      </w:r>
      <w:r w:rsidR="004F49D6">
        <w:rPr>
          <w:b/>
          <w:bCs/>
          <w:sz w:val="28"/>
          <w:szCs w:val="28"/>
        </w:rPr>
        <w:t>7</w:t>
      </w:r>
    </w:p>
    <w:p w:rsidR="0040630B" w:rsidRPr="001143BB" w:rsidRDefault="0040630B" w:rsidP="00383F1D"/>
    <w:p w:rsidR="00B92DAE" w:rsidRPr="001143BB" w:rsidRDefault="0040630B" w:rsidP="00383F1D">
      <w:pPr>
        <w:jc w:val="both"/>
      </w:pPr>
      <w:r w:rsidRPr="001143BB">
        <w:t xml:space="preserve">In setting the treasury management strategy, the </w:t>
      </w:r>
      <w:r w:rsidR="004235DB">
        <w:t>C</w:t>
      </w:r>
      <w:r w:rsidR="00F25AD0">
        <w:t xml:space="preserve">ounty </w:t>
      </w:r>
      <w:r w:rsidR="004235DB">
        <w:t>C</w:t>
      </w:r>
      <w:r w:rsidR="00F25AD0">
        <w:t>ouncil</w:t>
      </w:r>
      <w:r w:rsidR="00B92DAE" w:rsidRPr="001143BB">
        <w:t xml:space="preserve"> must have regard to the following factors</w:t>
      </w:r>
      <w:r w:rsidR="00A56AE7" w:rsidRPr="001143BB">
        <w:t xml:space="preserve"> which will have a strong influence over the strategy</w:t>
      </w:r>
      <w:r w:rsidR="008C3C8B" w:rsidRPr="001143BB">
        <w:t xml:space="preserve"> adopted</w:t>
      </w:r>
      <w:r w:rsidR="00A56AE7" w:rsidRPr="001143BB">
        <w:t xml:space="preserve">: </w:t>
      </w:r>
    </w:p>
    <w:p w:rsidR="00B92DAE" w:rsidRPr="001143BB" w:rsidRDefault="00B92DAE" w:rsidP="00383F1D">
      <w:pPr>
        <w:jc w:val="both"/>
      </w:pPr>
    </w:p>
    <w:p w:rsidR="00215560" w:rsidRDefault="0040630B" w:rsidP="00383F1D">
      <w:pPr>
        <w:pStyle w:val="ListParagraph"/>
        <w:numPr>
          <w:ilvl w:val="0"/>
          <w:numId w:val="3"/>
        </w:numPr>
        <w:jc w:val="both"/>
      </w:pPr>
      <w:r w:rsidRPr="001143BB">
        <w:t>economic forecasts</w:t>
      </w:r>
      <w:r w:rsidR="00C13688">
        <w:t xml:space="preserve"> – </w:t>
      </w:r>
      <w:r w:rsidR="000C41F4">
        <w:t>the e</w:t>
      </w:r>
      <w:r w:rsidR="00C13688">
        <w:t>conomic and legislative context</w:t>
      </w:r>
    </w:p>
    <w:p w:rsidR="00215560" w:rsidRPr="001143BB" w:rsidRDefault="0040630B" w:rsidP="00383F1D">
      <w:pPr>
        <w:pStyle w:val="ListParagraph"/>
        <w:numPr>
          <w:ilvl w:val="0"/>
          <w:numId w:val="3"/>
        </w:numPr>
        <w:jc w:val="both"/>
      </w:pPr>
      <w:r w:rsidRPr="001143BB">
        <w:t xml:space="preserve">the level of the approved </w:t>
      </w:r>
      <w:r w:rsidR="004235DB">
        <w:t>c</w:t>
      </w:r>
      <w:r w:rsidRPr="001143BB">
        <w:t xml:space="preserve">apital </w:t>
      </w:r>
      <w:r w:rsidR="004235DB">
        <w:t>p</w:t>
      </w:r>
      <w:r w:rsidRPr="001143BB">
        <w:t>rogramme</w:t>
      </w:r>
      <w:r w:rsidR="00AD0E87" w:rsidRPr="001143BB">
        <w:t xml:space="preserve"> which generates </w:t>
      </w:r>
      <w:r w:rsidR="000A1B41" w:rsidRPr="001143BB">
        <w:t>the borrowing requirement</w:t>
      </w:r>
      <w:r w:rsidR="00B92DAE" w:rsidRPr="001143BB">
        <w:t>,</w:t>
      </w:r>
    </w:p>
    <w:p w:rsidR="00215560" w:rsidRPr="001143BB" w:rsidRDefault="0040630B" w:rsidP="00383F1D">
      <w:pPr>
        <w:pStyle w:val="ListParagraph"/>
        <w:numPr>
          <w:ilvl w:val="0"/>
          <w:numId w:val="3"/>
        </w:numPr>
        <w:jc w:val="both"/>
      </w:pPr>
      <w:r w:rsidRPr="001143BB">
        <w:t xml:space="preserve">the current structure of the </w:t>
      </w:r>
      <w:r w:rsidR="004235DB">
        <w:t>C</w:t>
      </w:r>
      <w:r w:rsidR="00F25AD0">
        <w:t xml:space="preserve">ounty </w:t>
      </w:r>
      <w:r w:rsidR="004235DB">
        <w:t>C</w:t>
      </w:r>
      <w:r w:rsidR="00F25AD0">
        <w:t>ouncil</w:t>
      </w:r>
      <w:r w:rsidR="000A1B41" w:rsidRPr="001143BB">
        <w:t xml:space="preserve">'s </w:t>
      </w:r>
      <w:r w:rsidR="00E140AD" w:rsidRPr="001143BB">
        <w:t xml:space="preserve">investment and </w:t>
      </w:r>
      <w:r w:rsidRPr="001143BB">
        <w:t>debt portfolio</w:t>
      </w:r>
    </w:p>
    <w:p w:rsidR="00215560" w:rsidRDefault="00E13CB0" w:rsidP="00383F1D">
      <w:pPr>
        <w:pStyle w:val="ListParagraph"/>
        <w:numPr>
          <w:ilvl w:val="0"/>
          <w:numId w:val="3"/>
        </w:numPr>
        <w:jc w:val="both"/>
      </w:pPr>
      <w:r w:rsidRPr="001143BB">
        <w:t>p</w:t>
      </w:r>
      <w:r w:rsidR="0040630B" w:rsidRPr="001143BB">
        <w:t>rospects for interest rates</w:t>
      </w:r>
      <w:r w:rsidR="000A1B41" w:rsidRPr="001143BB">
        <w:t xml:space="preserve"> and</w:t>
      </w:r>
      <w:r w:rsidR="005F7FAC" w:rsidRPr="001143BB">
        <w:t xml:space="preserve"> market liquidity</w:t>
      </w:r>
    </w:p>
    <w:p w:rsidR="00651301" w:rsidRPr="001143BB" w:rsidRDefault="00651301" w:rsidP="00D635B5">
      <w:pPr>
        <w:pStyle w:val="ListParagraph"/>
        <w:ind w:left="360"/>
        <w:jc w:val="both"/>
      </w:pPr>
    </w:p>
    <w:p w:rsidR="00651301" w:rsidRDefault="00CC3B53" w:rsidP="00D635B5">
      <w:pPr>
        <w:pStyle w:val="ListParagraph"/>
        <w:numPr>
          <w:ilvl w:val="1"/>
          <w:numId w:val="36"/>
        </w:numPr>
        <w:jc w:val="both"/>
      </w:pPr>
      <w:r w:rsidRPr="00CC3B53">
        <w:rPr>
          <w:bCs/>
        </w:rPr>
        <w:t>Economic</w:t>
      </w:r>
      <w:r>
        <w:t xml:space="preserve"> Forecast</w:t>
      </w:r>
    </w:p>
    <w:p w:rsidR="00CC3B53" w:rsidRPr="001143BB" w:rsidRDefault="00CC3B53" w:rsidP="00D635B5">
      <w:pPr>
        <w:pStyle w:val="ListParagraph"/>
        <w:ind w:left="405"/>
        <w:jc w:val="both"/>
      </w:pPr>
    </w:p>
    <w:p w:rsidR="00540D1B" w:rsidRDefault="007C4EB1" w:rsidP="00D635B5">
      <w:pPr>
        <w:jc w:val="both"/>
        <w:rPr>
          <w:i/>
        </w:rPr>
      </w:pPr>
      <w:r w:rsidRPr="001143BB">
        <w:rPr>
          <w:i/>
        </w:rPr>
        <w:t xml:space="preserve">Economic </w:t>
      </w:r>
      <w:r w:rsidR="003700CA" w:rsidRPr="001143BB">
        <w:rPr>
          <w:i/>
        </w:rPr>
        <w:t>context</w:t>
      </w:r>
    </w:p>
    <w:p w:rsidR="00CF6B9E" w:rsidRDefault="00CF6B9E" w:rsidP="00D635B5">
      <w:pPr>
        <w:jc w:val="both"/>
        <w:rPr>
          <w:i/>
        </w:rPr>
      </w:pPr>
    </w:p>
    <w:p w:rsidR="00CF6B9E" w:rsidRDefault="00CF6B9E" w:rsidP="00CF6B9E">
      <w:pPr>
        <w:pStyle w:val="ListParagraph"/>
        <w:ind w:left="0"/>
        <w:jc w:val="both"/>
      </w:pPr>
      <w:r>
        <w:t>Domestic demand has grown robustly, supported by sustained real income growth and a gradual decline in private sector savings.  Low oil and commodity prices contributed to annual CPI inflation falling to 0.1% in October.  Wages are growing at 3% a year, and the unemployment rate has dropped to 5.4%.  Mortgage approvals have risen to over 70,000 a month and annual house price growth is around 3.5%.  These factors have boosted consumer confidence, helping to underpin retail spending and hence GDP growth, which was an encouraging 2.3% a year in the third quarter of 2015. Although speeches by the Bank of England’s Monetary Policy Committee (MPC) members sent signals that some were willing to countenance higher interest rates, the MPC held policy rates at 0.5% for the 81st consecutive month at its meeting in November 2015. Quantitative easing (QE) has been maintained at £375bn since July 2012.</w:t>
      </w:r>
      <w:r w:rsidR="00750FB1">
        <w:t xml:space="preserve"> Probably need to refer to weaken data towards the end of the year and forecast GDP growth cuts by OBR and others also the recent CIPD reduced wage growth estimates.</w:t>
      </w:r>
    </w:p>
    <w:p w:rsidR="00CF6B9E" w:rsidRDefault="00CF6B9E" w:rsidP="00CF6B9E">
      <w:pPr>
        <w:pStyle w:val="ListParagraph"/>
        <w:ind w:left="0"/>
        <w:jc w:val="both"/>
      </w:pPr>
    </w:p>
    <w:p w:rsidR="00CF6B9E" w:rsidRDefault="00CF6B9E" w:rsidP="00CF6B9E">
      <w:pPr>
        <w:pStyle w:val="ListParagraph"/>
        <w:ind w:left="0"/>
        <w:jc w:val="both"/>
      </w:pPr>
      <w:r>
        <w:t>In international markets China's growth has slowed and its economy is performing below expectations, reducing global demand for commodities and contributing to emerging market weakness. US domestic growth has accelerated but the globally sensitive sectors of the US economy have slowed. Strong US labour market data and other economic indicators however suggest recent global turbulence has not knocked the American recovery off course</w:t>
      </w:r>
      <w:r w:rsidR="00551862">
        <w:t xml:space="preserve"> and consequently t</w:t>
      </w:r>
      <w:r>
        <w:t>he Federal Reserve raise</w:t>
      </w:r>
      <w:r w:rsidR="00551862">
        <w:t>d</w:t>
      </w:r>
      <w:r>
        <w:t xml:space="preserve"> policy rates at its December 2015 </w:t>
      </w:r>
      <w:r w:rsidR="00551862">
        <w:t>meeting</w:t>
      </w:r>
      <w:r>
        <w:t>.</w:t>
      </w:r>
      <w:r w:rsidR="00551862">
        <w:t xml:space="preserve"> In contrast</w:t>
      </w:r>
      <w:r>
        <w:t xml:space="preserve"> the European Central Bank finally embarked on QE in 2015 to counter the perils of deflation.</w:t>
      </w:r>
    </w:p>
    <w:p w:rsidR="00CF6B9E" w:rsidRDefault="00CF6B9E" w:rsidP="00CF6B9E">
      <w:pPr>
        <w:pStyle w:val="ListParagraph"/>
        <w:ind w:left="0"/>
        <w:jc w:val="both"/>
      </w:pPr>
    </w:p>
    <w:p w:rsidR="0072545C" w:rsidRDefault="0072545C" w:rsidP="0072545C">
      <w:pPr>
        <w:pStyle w:val="ListParagraph"/>
        <w:ind w:left="0"/>
        <w:contextualSpacing w:val="0"/>
        <w:jc w:val="both"/>
      </w:pPr>
      <w:r w:rsidRPr="0072545C">
        <w:t xml:space="preserve">The outcome of the 2015 UK general election, which was largely fought over the parties’ approach to dealing with the deficit in the public finances, saw some big shifts in the political landscape and put the key issue of the UK’s relationship with the EU at </w:t>
      </w:r>
      <w:r w:rsidRPr="0072545C">
        <w:lastRenderedPageBreak/>
        <w:t>the heart of future politics. Uncertainty over the outcome of the forthcoming referendum could put downward pressure on UK GDP growth and interest rates.</w:t>
      </w:r>
    </w:p>
    <w:p w:rsidR="0072545C" w:rsidRDefault="0072545C" w:rsidP="0072545C">
      <w:pPr>
        <w:pStyle w:val="ListParagraph"/>
        <w:ind w:left="0"/>
        <w:contextualSpacing w:val="0"/>
        <w:jc w:val="both"/>
      </w:pPr>
    </w:p>
    <w:p w:rsidR="0072545C" w:rsidRPr="0072545C" w:rsidRDefault="0072545C" w:rsidP="0072545C">
      <w:pPr>
        <w:pStyle w:val="ListParagraph"/>
        <w:ind w:left="0"/>
        <w:contextualSpacing w:val="0"/>
        <w:jc w:val="both"/>
      </w:pPr>
      <w:r w:rsidRPr="0072545C">
        <w:t>The varying fortunes of different parts of the global economy are reflected in market indicators of credit risk. UK Banks operating in the Far East and parts of mainland Europe have seen their perceived risk increase, while those with a more domestic focus continue to show improvement. The sale of most of the government’s stake in Lloyds and the first sale of its shares in RBS have generally been seen as credit positive.</w:t>
      </w:r>
    </w:p>
    <w:p w:rsidR="0072545C" w:rsidRPr="00D635B5" w:rsidRDefault="0072545C" w:rsidP="00974969">
      <w:pPr>
        <w:autoSpaceDE w:val="0"/>
        <w:autoSpaceDN w:val="0"/>
        <w:adjustRightInd w:val="0"/>
        <w:rPr>
          <w:color w:val="000000" w:themeColor="text1"/>
          <w:lang w:eastAsia="en-US"/>
        </w:rPr>
      </w:pPr>
    </w:p>
    <w:p w:rsidR="00AD0D79" w:rsidRDefault="00C13688" w:rsidP="00AD0D79">
      <w:pPr>
        <w:jc w:val="both"/>
        <w:rPr>
          <w:i/>
        </w:rPr>
      </w:pPr>
      <w:r w:rsidRPr="00D635B5">
        <w:rPr>
          <w:i/>
        </w:rPr>
        <w:t>Legislative</w:t>
      </w:r>
      <w:r w:rsidR="00AD0D79" w:rsidRPr="00D635B5">
        <w:rPr>
          <w:i/>
        </w:rPr>
        <w:t xml:space="preserve"> </w:t>
      </w:r>
      <w:r w:rsidRPr="00D635B5">
        <w:rPr>
          <w:i/>
        </w:rPr>
        <w:t>Context</w:t>
      </w:r>
    </w:p>
    <w:p w:rsidR="0072545C" w:rsidRDefault="0072545C" w:rsidP="00AD0D79">
      <w:pPr>
        <w:jc w:val="both"/>
        <w:rPr>
          <w:i/>
        </w:rPr>
      </w:pPr>
    </w:p>
    <w:p w:rsidR="0072545C" w:rsidRPr="0072545C" w:rsidRDefault="0072545C" w:rsidP="009A2617">
      <w:pPr>
        <w:pStyle w:val="ListParagraph"/>
        <w:ind w:left="0"/>
        <w:contextualSpacing w:val="0"/>
        <w:jc w:val="both"/>
      </w:pPr>
      <w:r w:rsidRPr="0072545C">
        <w:t xml:space="preserve">Bail-in legislation, which ensures that large investors including local authorities will rescue failing banks instead of taxpayers in the future, has now been fully implemented in the UK, USA and Germany. The rest of the European Union will follow suit in January 2016, while Australia, Canada and Switzerland are well advanced with their own plans. Meanwhile, changes to the UK Financial Services Compensation Scheme and similar European schemes in July 2015 mean that most private sector investors are now partially or fully exempt from contributing to a bail-in. </w:t>
      </w:r>
    </w:p>
    <w:p w:rsidR="003733F0" w:rsidRPr="00D635B5" w:rsidRDefault="003733F0" w:rsidP="00AD0D79">
      <w:pPr>
        <w:jc w:val="both"/>
      </w:pPr>
    </w:p>
    <w:p w:rsidR="000A1B41" w:rsidRPr="00664574" w:rsidRDefault="00AD0D79" w:rsidP="00025990">
      <w:pPr>
        <w:jc w:val="both"/>
      </w:pPr>
      <w:r w:rsidRPr="00664574">
        <w:t>3.</w:t>
      </w:r>
      <w:r w:rsidR="00664574">
        <w:t>2</w:t>
      </w:r>
      <w:r w:rsidRPr="00664574">
        <w:t xml:space="preserve"> </w:t>
      </w:r>
      <w:r w:rsidR="00E140AD" w:rsidRPr="00664574">
        <w:t xml:space="preserve">The </w:t>
      </w:r>
      <w:r w:rsidR="007C4EB1" w:rsidRPr="00664574">
        <w:t xml:space="preserve">Current </w:t>
      </w:r>
      <w:r w:rsidR="00E140AD" w:rsidRPr="00664574">
        <w:t>Structure of the</w:t>
      </w:r>
      <w:r w:rsidR="007C4EB1" w:rsidRPr="00664574">
        <w:t xml:space="preserve"> Portfolio</w:t>
      </w:r>
    </w:p>
    <w:p w:rsidR="000A1B41" w:rsidRPr="001143BB" w:rsidRDefault="000A1B41" w:rsidP="00025990">
      <w:pPr>
        <w:jc w:val="both"/>
        <w:rPr>
          <w:highlight w:val="yellow"/>
        </w:rPr>
      </w:pPr>
    </w:p>
    <w:p w:rsidR="00D1046F" w:rsidRDefault="00D1046F" w:rsidP="00D1046F">
      <w:pPr>
        <w:jc w:val="both"/>
      </w:pPr>
      <w:r>
        <w:t>The Council’s treasury portfolio (net of transferred debt) as at 31</w:t>
      </w:r>
      <w:r>
        <w:rPr>
          <w:vertAlign w:val="superscript"/>
        </w:rPr>
        <w:t>st</w:t>
      </w:r>
      <w:r>
        <w:t xml:space="preserve"> </w:t>
      </w:r>
      <w:r w:rsidRPr="00BF0506">
        <w:t>December 201</w:t>
      </w:r>
      <w:r w:rsidR="006B1992">
        <w:t>5</w:t>
      </w:r>
      <w:r>
        <w:t xml:space="preserve"> was as follows. </w:t>
      </w:r>
    </w:p>
    <w:p w:rsidR="00D532DB" w:rsidRDefault="00D532DB" w:rsidP="00D1046F">
      <w:pPr>
        <w:jc w:val="both"/>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2565"/>
        <w:gridCol w:w="1778"/>
        <w:gridCol w:w="1755"/>
      </w:tblGrid>
      <w:tr w:rsidR="00D532DB" w:rsidTr="00BF0506">
        <w:tc>
          <w:tcPr>
            <w:tcW w:w="1971" w:type="dxa"/>
            <w:tcBorders>
              <w:top w:val="single" w:sz="4" w:space="0" w:color="auto"/>
              <w:left w:val="single" w:sz="4" w:space="0" w:color="auto"/>
              <w:bottom w:val="single" w:sz="4" w:space="0" w:color="auto"/>
              <w:right w:val="nil"/>
            </w:tcBorders>
            <w:shd w:val="clear" w:color="auto" w:fill="C0C0C0"/>
          </w:tcPr>
          <w:p w:rsidR="00D532DB" w:rsidRDefault="00D532DB" w:rsidP="00757FFD">
            <w:pPr>
              <w:spacing w:line="256" w:lineRule="auto"/>
              <w:jc w:val="both"/>
              <w:rPr>
                <w:lang w:eastAsia="en-US"/>
              </w:rPr>
            </w:pPr>
          </w:p>
        </w:tc>
        <w:tc>
          <w:tcPr>
            <w:tcW w:w="2565" w:type="dxa"/>
            <w:tcBorders>
              <w:top w:val="single" w:sz="4" w:space="0" w:color="auto"/>
              <w:left w:val="nil"/>
              <w:bottom w:val="single" w:sz="4" w:space="0" w:color="auto"/>
              <w:right w:val="single" w:sz="4" w:space="0" w:color="auto"/>
            </w:tcBorders>
            <w:shd w:val="clear" w:color="auto" w:fill="C0C0C0"/>
          </w:tcPr>
          <w:p w:rsidR="00D532DB" w:rsidRDefault="00D532DB" w:rsidP="00757FFD">
            <w:pPr>
              <w:spacing w:line="256" w:lineRule="auto"/>
              <w:jc w:val="both"/>
              <w:rPr>
                <w:lang w:eastAsia="en-US"/>
              </w:rPr>
            </w:pPr>
          </w:p>
        </w:tc>
        <w:tc>
          <w:tcPr>
            <w:tcW w:w="1778" w:type="dxa"/>
            <w:tcBorders>
              <w:top w:val="single" w:sz="4" w:space="0" w:color="auto"/>
              <w:left w:val="single" w:sz="4" w:space="0" w:color="auto"/>
              <w:bottom w:val="single" w:sz="4" w:space="0" w:color="auto"/>
              <w:right w:val="single" w:sz="4" w:space="0" w:color="auto"/>
            </w:tcBorders>
            <w:shd w:val="clear" w:color="auto" w:fill="C0C0C0"/>
            <w:hideMark/>
          </w:tcPr>
          <w:p w:rsidR="00D532DB" w:rsidRDefault="00D532DB" w:rsidP="00757FFD">
            <w:pPr>
              <w:spacing w:line="256" w:lineRule="auto"/>
              <w:jc w:val="center"/>
              <w:rPr>
                <w:lang w:eastAsia="en-US"/>
              </w:rPr>
            </w:pPr>
            <w:r>
              <w:rPr>
                <w:lang w:eastAsia="en-US"/>
              </w:rPr>
              <w:t>Principal Amount</w:t>
            </w:r>
          </w:p>
          <w:p w:rsidR="00D532DB" w:rsidRDefault="00D532DB" w:rsidP="00757FFD">
            <w:pPr>
              <w:spacing w:line="256" w:lineRule="auto"/>
              <w:jc w:val="center"/>
              <w:rPr>
                <w:lang w:eastAsia="en-US"/>
              </w:rPr>
            </w:pPr>
            <w:r>
              <w:rPr>
                <w:lang w:eastAsia="en-US"/>
              </w:rPr>
              <w:t xml:space="preserve"> £m</w:t>
            </w:r>
          </w:p>
        </w:tc>
        <w:tc>
          <w:tcPr>
            <w:tcW w:w="1755" w:type="dxa"/>
            <w:tcBorders>
              <w:top w:val="single" w:sz="4" w:space="0" w:color="auto"/>
              <w:left w:val="single" w:sz="4" w:space="0" w:color="auto"/>
              <w:bottom w:val="single" w:sz="4" w:space="0" w:color="auto"/>
              <w:right w:val="single" w:sz="4" w:space="0" w:color="auto"/>
            </w:tcBorders>
            <w:shd w:val="clear" w:color="auto" w:fill="C0C0C0"/>
            <w:hideMark/>
          </w:tcPr>
          <w:p w:rsidR="00D532DB" w:rsidRDefault="00D532DB" w:rsidP="00757FFD">
            <w:pPr>
              <w:spacing w:line="256" w:lineRule="auto"/>
              <w:jc w:val="center"/>
              <w:rPr>
                <w:lang w:eastAsia="en-US"/>
              </w:rPr>
            </w:pPr>
            <w:r>
              <w:rPr>
                <w:lang w:eastAsia="en-US"/>
              </w:rPr>
              <w:t>Current Interest Rate %</w:t>
            </w:r>
          </w:p>
        </w:tc>
      </w:tr>
      <w:tr w:rsidR="00D532DB" w:rsidTr="00BF0506">
        <w:tc>
          <w:tcPr>
            <w:tcW w:w="4536" w:type="dxa"/>
            <w:gridSpan w:val="2"/>
            <w:tcBorders>
              <w:top w:val="single" w:sz="8" w:space="0" w:color="auto"/>
              <w:left w:val="single" w:sz="8" w:space="0" w:color="auto"/>
              <w:bottom w:val="nil"/>
              <w:right w:val="single" w:sz="8" w:space="0" w:color="000000"/>
            </w:tcBorders>
            <w:vAlign w:val="center"/>
            <w:hideMark/>
          </w:tcPr>
          <w:p w:rsidR="00D532DB" w:rsidRPr="00C45909" w:rsidRDefault="00D532DB" w:rsidP="00757FFD">
            <w:pPr>
              <w:spacing w:line="256" w:lineRule="auto"/>
              <w:rPr>
                <w:lang w:eastAsia="en-US"/>
              </w:rPr>
            </w:pPr>
            <w:r w:rsidRPr="00C45909">
              <w:rPr>
                <w:lang w:eastAsia="en-US"/>
              </w:rPr>
              <w:t>Call accounts</w:t>
            </w:r>
          </w:p>
        </w:tc>
        <w:tc>
          <w:tcPr>
            <w:tcW w:w="1778" w:type="dxa"/>
            <w:tcBorders>
              <w:top w:val="nil"/>
              <w:left w:val="nil"/>
              <w:bottom w:val="nil"/>
              <w:right w:val="single" w:sz="8" w:space="0" w:color="auto"/>
            </w:tcBorders>
            <w:vAlign w:val="center"/>
            <w:hideMark/>
          </w:tcPr>
          <w:p w:rsidR="00D532DB" w:rsidRPr="00C45909" w:rsidRDefault="00D532DB" w:rsidP="00757FFD">
            <w:pPr>
              <w:spacing w:line="256" w:lineRule="auto"/>
              <w:jc w:val="center"/>
              <w:rPr>
                <w:lang w:eastAsia="en-US"/>
              </w:rPr>
            </w:pPr>
            <w:r w:rsidRPr="00C45909">
              <w:rPr>
                <w:lang w:eastAsia="en-US"/>
              </w:rPr>
              <w:t>20.39</w:t>
            </w:r>
          </w:p>
        </w:tc>
        <w:tc>
          <w:tcPr>
            <w:tcW w:w="1755" w:type="dxa"/>
            <w:tcBorders>
              <w:top w:val="nil"/>
              <w:left w:val="nil"/>
              <w:bottom w:val="nil"/>
              <w:right w:val="single" w:sz="8" w:space="0" w:color="auto"/>
            </w:tcBorders>
            <w:vAlign w:val="center"/>
            <w:hideMark/>
          </w:tcPr>
          <w:p w:rsidR="00D532DB" w:rsidRPr="0072545C" w:rsidRDefault="00D532DB" w:rsidP="00757FFD">
            <w:pPr>
              <w:spacing w:line="256" w:lineRule="auto"/>
              <w:jc w:val="center"/>
              <w:rPr>
                <w:highlight w:val="yellow"/>
                <w:lang w:eastAsia="en-US"/>
              </w:rPr>
            </w:pPr>
            <w:r w:rsidRPr="00995167">
              <w:rPr>
                <w:lang w:eastAsia="en-US"/>
              </w:rPr>
              <w:t>0.25</w:t>
            </w:r>
          </w:p>
        </w:tc>
      </w:tr>
      <w:tr w:rsidR="00D532DB" w:rsidTr="00BF0506">
        <w:tc>
          <w:tcPr>
            <w:tcW w:w="4536" w:type="dxa"/>
            <w:gridSpan w:val="2"/>
            <w:tcBorders>
              <w:top w:val="nil"/>
              <w:left w:val="single" w:sz="8" w:space="0" w:color="auto"/>
              <w:bottom w:val="nil"/>
              <w:right w:val="single" w:sz="8" w:space="0" w:color="000000"/>
            </w:tcBorders>
            <w:vAlign w:val="center"/>
            <w:hideMark/>
          </w:tcPr>
          <w:p w:rsidR="00D532DB" w:rsidRPr="00C45909" w:rsidRDefault="00D532DB" w:rsidP="00757FFD">
            <w:pPr>
              <w:spacing w:line="256" w:lineRule="auto"/>
              <w:rPr>
                <w:lang w:eastAsia="en-US"/>
              </w:rPr>
            </w:pPr>
            <w:r>
              <w:rPr>
                <w:lang w:eastAsia="en-US"/>
              </w:rPr>
              <w:t>Local Authority Deposits</w:t>
            </w:r>
          </w:p>
        </w:tc>
        <w:tc>
          <w:tcPr>
            <w:tcW w:w="1778" w:type="dxa"/>
            <w:tcBorders>
              <w:top w:val="nil"/>
              <w:left w:val="nil"/>
              <w:bottom w:val="nil"/>
              <w:right w:val="single" w:sz="8" w:space="0" w:color="auto"/>
            </w:tcBorders>
            <w:vAlign w:val="center"/>
            <w:hideMark/>
          </w:tcPr>
          <w:p w:rsidR="00D532DB" w:rsidRPr="00C45909" w:rsidRDefault="00D532DB" w:rsidP="00757FFD">
            <w:pPr>
              <w:spacing w:line="256" w:lineRule="auto"/>
              <w:jc w:val="center"/>
              <w:rPr>
                <w:lang w:eastAsia="en-US"/>
              </w:rPr>
            </w:pPr>
            <w:r>
              <w:rPr>
                <w:lang w:eastAsia="en-US"/>
              </w:rPr>
              <w:t>56.50</w:t>
            </w:r>
          </w:p>
        </w:tc>
        <w:tc>
          <w:tcPr>
            <w:tcW w:w="1755" w:type="dxa"/>
            <w:tcBorders>
              <w:top w:val="nil"/>
              <w:left w:val="nil"/>
              <w:bottom w:val="nil"/>
              <w:right w:val="single" w:sz="8" w:space="0" w:color="auto"/>
            </w:tcBorders>
            <w:vAlign w:val="center"/>
            <w:hideMark/>
          </w:tcPr>
          <w:p w:rsidR="00D532DB" w:rsidRPr="00C45909" w:rsidRDefault="00D532DB" w:rsidP="00757FFD">
            <w:pPr>
              <w:spacing w:line="256" w:lineRule="auto"/>
              <w:jc w:val="center"/>
              <w:rPr>
                <w:lang w:eastAsia="en-US"/>
              </w:rPr>
            </w:pPr>
            <w:r w:rsidRPr="00C45909">
              <w:rPr>
                <w:lang w:eastAsia="en-US"/>
              </w:rPr>
              <w:t>1.</w:t>
            </w:r>
            <w:r>
              <w:rPr>
                <w:lang w:eastAsia="en-US"/>
              </w:rPr>
              <w:t>63</w:t>
            </w:r>
          </w:p>
        </w:tc>
      </w:tr>
      <w:tr w:rsidR="00D532DB" w:rsidTr="00BF0506">
        <w:tc>
          <w:tcPr>
            <w:tcW w:w="4536" w:type="dxa"/>
            <w:gridSpan w:val="2"/>
            <w:tcBorders>
              <w:top w:val="nil"/>
              <w:left w:val="single" w:sz="8" w:space="0" w:color="auto"/>
              <w:bottom w:val="nil"/>
              <w:right w:val="single" w:sz="8" w:space="0" w:color="000000"/>
            </w:tcBorders>
            <w:vAlign w:val="center"/>
            <w:hideMark/>
          </w:tcPr>
          <w:p w:rsidR="00D532DB" w:rsidRPr="00C45909" w:rsidRDefault="00D532DB">
            <w:pPr>
              <w:spacing w:line="256" w:lineRule="auto"/>
              <w:rPr>
                <w:lang w:eastAsia="en-US"/>
              </w:rPr>
            </w:pPr>
            <w:r>
              <w:rPr>
                <w:lang w:eastAsia="en-US"/>
              </w:rPr>
              <w:t>Gilts &amp; Other Core Bonds</w:t>
            </w:r>
          </w:p>
        </w:tc>
        <w:tc>
          <w:tcPr>
            <w:tcW w:w="1778" w:type="dxa"/>
            <w:tcBorders>
              <w:top w:val="nil"/>
              <w:left w:val="nil"/>
              <w:bottom w:val="nil"/>
              <w:right w:val="single" w:sz="8" w:space="0" w:color="auto"/>
            </w:tcBorders>
            <w:vAlign w:val="center"/>
            <w:hideMark/>
          </w:tcPr>
          <w:p w:rsidR="00D532DB" w:rsidRPr="00C45909" w:rsidRDefault="00D532DB" w:rsidP="00757FFD">
            <w:pPr>
              <w:spacing w:line="256" w:lineRule="auto"/>
              <w:jc w:val="center"/>
              <w:rPr>
                <w:lang w:eastAsia="en-US"/>
              </w:rPr>
            </w:pPr>
            <w:r>
              <w:rPr>
                <w:lang w:eastAsia="en-US"/>
              </w:rPr>
              <w:t>366.03</w:t>
            </w:r>
          </w:p>
        </w:tc>
        <w:tc>
          <w:tcPr>
            <w:tcW w:w="1755" w:type="dxa"/>
            <w:tcBorders>
              <w:top w:val="nil"/>
              <w:left w:val="nil"/>
              <w:bottom w:val="nil"/>
              <w:right w:val="single" w:sz="8" w:space="0" w:color="auto"/>
            </w:tcBorders>
            <w:vAlign w:val="center"/>
            <w:hideMark/>
          </w:tcPr>
          <w:p w:rsidR="00D532DB" w:rsidRPr="0072545C" w:rsidRDefault="00D532DB" w:rsidP="00757FFD">
            <w:pPr>
              <w:spacing w:line="256" w:lineRule="auto"/>
              <w:jc w:val="center"/>
              <w:rPr>
                <w:highlight w:val="yellow"/>
                <w:lang w:eastAsia="en-US"/>
              </w:rPr>
            </w:pPr>
            <w:r>
              <w:rPr>
                <w:lang w:eastAsia="en-US"/>
              </w:rPr>
              <w:t>1.74</w:t>
            </w:r>
          </w:p>
        </w:tc>
      </w:tr>
      <w:tr w:rsidR="00D532DB" w:rsidTr="00BF0506">
        <w:tc>
          <w:tcPr>
            <w:tcW w:w="4536" w:type="dxa"/>
            <w:gridSpan w:val="2"/>
            <w:tcBorders>
              <w:top w:val="nil"/>
              <w:left w:val="single" w:sz="8" w:space="0" w:color="auto"/>
              <w:bottom w:val="single" w:sz="8" w:space="0" w:color="auto"/>
              <w:right w:val="single" w:sz="8" w:space="0" w:color="000000"/>
            </w:tcBorders>
            <w:vAlign w:val="center"/>
            <w:hideMark/>
          </w:tcPr>
          <w:p w:rsidR="00D532DB" w:rsidRPr="00C45909" w:rsidRDefault="00D532DB">
            <w:pPr>
              <w:spacing w:line="256" w:lineRule="auto"/>
              <w:rPr>
                <w:lang w:eastAsia="en-US"/>
              </w:rPr>
            </w:pPr>
            <w:r>
              <w:rPr>
                <w:lang w:eastAsia="en-US"/>
              </w:rPr>
              <w:t>Floating Rate Notes (short term liquidity)</w:t>
            </w:r>
          </w:p>
        </w:tc>
        <w:tc>
          <w:tcPr>
            <w:tcW w:w="1778" w:type="dxa"/>
            <w:tcBorders>
              <w:top w:val="nil"/>
              <w:left w:val="nil"/>
              <w:bottom w:val="single" w:sz="8" w:space="0" w:color="auto"/>
              <w:right w:val="single" w:sz="8" w:space="0" w:color="auto"/>
            </w:tcBorders>
            <w:vAlign w:val="center"/>
            <w:hideMark/>
          </w:tcPr>
          <w:p w:rsidR="00D532DB" w:rsidRPr="00C45909" w:rsidRDefault="00D532DB" w:rsidP="00757FFD">
            <w:pPr>
              <w:spacing w:line="256" w:lineRule="auto"/>
              <w:jc w:val="center"/>
              <w:rPr>
                <w:lang w:eastAsia="en-US"/>
              </w:rPr>
            </w:pPr>
            <w:r>
              <w:rPr>
                <w:lang w:eastAsia="en-US"/>
              </w:rPr>
              <w:t>226.56</w:t>
            </w:r>
          </w:p>
        </w:tc>
        <w:tc>
          <w:tcPr>
            <w:tcW w:w="1755" w:type="dxa"/>
            <w:tcBorders>
              <w:top w:val="nil"/>
              <w:left w:val="nil"/>
              <w:bottom w:val="single" w:sz="8" w:space="0" w:color="auto"/>
              <w:right w:val="single" w:sz="8" w:space="0" w:color="auto"/>
            </w:tcBorders>
            <w:vAlign w:val="center"/>
            <w:hideMark/>
          </w:tcPr>
          <w:p w:rsidR="00D532DB" w:rsidRPr="0072545C" w:rsidRDefault="00D532DB" w:rsidP="00757FFD">
            <w:pPr>
              <w:spacing w:line="256" w:lineRule="auto"/>
              <w:jc w:val="center"/>
              <w:rPr>
                <w:highlight w:val="yellow"/>
                <w:lang w:eastAsia="en-US"/>
              </w:rPr>
            </w:pPr>
            <w:r>
              <w:rPr>
                <w:lang w:eastAsia="en-US"/>
              </w:rPr>
              <w:t>0.91</w:t>
            </w:r>
          </w:p>
        </w:tc>
      </w:tr>
      <w:tr w:rsidR="00D532DB" w:rsidTr="00BF0506">
        <w:tc>
          <w:tcPr>
            <w:tcW w:w="4536" w:type="dxa"/>
            <w:gridSpan w:val="2"/>
            <w:tcBorders>
              <w:top w:val="single" w:sz="8" w:space="0" w:color="auto"/>
              <w:left w:val="single" w:sz="8" w:space="0" w:color="auto"/>
              <w:bottom w:val="nil"/>
              <w:right w:val="single" w:sz="8" w:space="0" w:color="000000"/>
            </w:tcBorders>
            <w:vAlign w:val="center"/>
            <w:hideMark/>
          </w:tcPr>
          <w:p w:rsidR="00D532DB" w:rsidRPr="00995167" w:rsidRDefault="00D532DB" w:rsidP="00757FFD">
            <w:pPr>
              <w:spacing w:line="256" w:lineRule="auto"/>
              <w:rPr>
                <w:b/>
                <w:bCs/>
                <w:lang w:eastAsia="en-US"/>
              </w:rPr>
            </w:pPr>
            <w:r w:rsidRPr="00995167">
              <w:rPr>
                <w:b/>
                <w:bCs/>
                <w:lang w:eastAsia="en-US"/>
              </w:rPr>
              <w:t>Total Investments</w:t>
            </w:r>
          </w:p>
        </w:tc>
        <w:tc>
          <w:tcPr>
            <w:tcW w:w="1778" w:type="dxa"/>
            <w:tcBorders>
              <w:top w:val="nil"/>
              <w:left w:val="nil"/>
              <w:bottom w:val="nil"/>
              <w:right w:val="single" w:sz="8" w:space="0" w:color="auto"/>
            </w:tcBorders>
            <w:vAlign w:val="center"/>
            <w:hideMark/>
          </w:tcPr>
          <w:p w:rsidR="00D532DB" w:rsidRPr="00995167" w:rsidRDefault="00D532DB" w:rsidP="00757FFD">
            <w:pPr>
              <w:spacing w:line="256" w:lineRule="auto"/>
              <w:jc w:val="center"/>
              <w:rPr>
                <w:b/>
                <w:bCs/>
                <w:lang w:eastAsia="en-US"/>
              </w:rPr>
            </w:pPr>
            <w:r>
              <w:rPr>
                <w:b/>
                <w:bCs/>
                <w:lang w:eastAsia="en-US"/>
              </w:rPr>
              <w:t>669.48</w:t>
            </w:r>
          </w:p>
        </w:tc>
        <w:tc>
          <w:tcPr>
            <w:tcW w:w="1755" w:type="dxa"/>
            <w:tcBorders>
              <w:top w:val="nil"/>
              <w:left w:val="nil"/>
              <w:bottom w:val="nil"/>
              <w:right w:val="single" w:sz="8" w:space="0" w:color="auto"/>
            </w:tcBorders>
            <w:vAlign w:val="center"/>
            <w:hideMark/>
          </w:tcPr>
          <w:p w:rsidR="00D532DB" w:rsidRPr="00584F18" w:rsidRDefault="00D532DB" w:rsidP="00757FFD">
            <w:pPr>
              <w:spacing w:line="256" w:lineRule="auto"/>
              <w:jc w:val="center"/>
              <w:rPr>
                <w:b/>
                <w:bCs/>
                <w:lang w:eastAsia="en-US"/>
              </w:rPr>
            </w:pPr>
            <w:r>
              <w:rPr>
                <w:b/>
                <w:bCs/>
                <w:lang w:eastAsia="en-US"/>
              </w:rPr>
              <w:t>1.97</w:t>
            </w:r>
          </w:p>
        </w:tc>
      </w:tr>
      <w:tr w:rsidR="00D532DB" w:rsidTr="00BF0506">
        <w:tc>
          <w:tcPr>
            <w:tcW w:w="4536" w:type="dxa"/>
            <w:gridSpan w:val="2"/>
            <w:tcBorders>
              <w:top w:val="nil"/>
              <w:left w:val="single" w:sz="4" w:space="0" w:color="auto"/>
              <w:bottom w:val="nil"/>
              <w:right w:val="single" w:sz="4" w:space="0" w:color="auto"/>
            </w:tcBorders>
          </w:tcPr>
          <w:p w:rsidR="00D532DB" w:rsidRPr="0072545C" w:rsidRDefault="00D532DB" w:rsidP="00757FFD">
            <w:pPr>
              <w:spacing w:line="256" w:lineRule="auto"/>
              <w:rPr>
                <w:b/>
                <w:highlight w:val="yellow"/>
                <w:lang w:eastAsia="en-US"/>
              </w:rPr>
            </w:pPr>
          </w:p>
        </w:tc>
        <w:tc>
          <w:tcPr>
            <w:tcW w:w="1778" w:type="dxa"/>
            <w:tcBorders>
              <w:top w:val="nil"/>
              <w:left w:val="single" w:sz="4" w:space="0" w:color="auto"/>
              <w:bottom w:val="nil"/>
              <w:right w:val="single" w:sz="4" w:space="0" w:color="auto"/>
            </w:tcBorders>
          </w:tcPr>
          <w:p w:rsidR="00D532DB" w:rsidRPr="0072545C" w:rsidRDefault="00D532DB" w:rsidP="00757FFD">
            <w:pPr>
              <w:spacing w:line="256" w:lineRule="auto"/>
              <w:jc w:val="right"/>
              <w:rPr>
                <w:b/>
                <w:highlight w:val="yellow"/>
                <w:lang w:eastAsia="en-US"/>
              </w:rPr>
            </w:pPr>
          </w:p>
        </w:tc>
        <w:tc>
          <w:tcPr>
            <w:tcW w:w="1755" w:type="dxa"/>
            <w:tcBorders>
              <w:top w:val="nil"/>
              <w:left w:val="single" w:sz="4" w:space="0" w:color="auto"/>
              <w:bottom w:val="nil"/>
              <w:right w:val="single" w:sz="4" w:space="0" w:color="auto"/>
            </w:tcBorders>
          </w:tcPr>
          <w:p w:rsidR="00D532DB" w:rsidRPr="00584F18" w:rsidRDefault="00D532DB" w:rsidP="00757FFD">
            <w:pPr>
              <w:spacing w:line="256" w:lineRule="auto"/>
              <w:jc w:val="right"/>
              <w:rPr>
                <w:b/>
                <w:lang w:eastAsia="en-US"/>
              </w:rPr>
            </w:pPr>
          </w:p>
        </w:tc>
      </w:tr>
      <w:tr w:rsidR="00D532DB" w:rsidTr="00BF0506">
        <w:tc>
          <w:tcPr>
            <w:tcW w:w="4536" w:type="dxa"/>
            <w:gridSpan w:val="2"/>
            <w:tcBorders>
              <w:top w:val="nil"/>
              <w:left w:val="single" w:sz="8" w:space="0" w:color="auto"/>
              <w:bottom w:val="nil"/>
              <w:right w:val="single" w:sz="8" w:space="0" w:color="000000"/>
            </w:tcBorders>
            <w:vAlign w:val="center"/>
            <w:hideMark/>
          </w:tcPr>
          <w:p w:rsidR="00D532DB" w:rsidRPr="00C45909" w:rsidRDefault="00072E24" w:rsidP="00757FFD">
            <w:pPr>
              <w:spacing w:line="256" w:lineRule="auto"/>
              <w:rPr>
                <w:lang w:eastAsia="en-US"/>
              </w:rPr>
            </w:pPr>
            <w:r>
              <w:rPr>
                <w:lang w:eastAsia="en-US"/>
              </w:rPr>
              <w:t>Short-term loans</w:t>
            </w:r>
          </w:p>
        </w:tc>
        <w:tc>
          <w:tcPr>
            <w:tcW w:w="1778" w:type="dxa"/>
            <w:tcBorders>
              <w:top w:val="nil"/>
              <w:left w:val="nil"/>
              <w:bottom w:val="nil"/>
              <w:right w:val="single" w:sz="8" w:space="0" w:color="auto"/>
            </w:tcBorders>
            <w:vAlign w:val="center"/>
            <w:hideMark/>
          </w:tcPr>
          <w:p w:rsidR="00D532DB" w:rsidRPr="00C45909" w:rsidRDefault="00D532DB" w:rsidP="00757FFD">
            <w:pPr>
              <w:spacing w:line="256" w:lineRule="auto"/>
              <w:jc w:val="center"/>
              <w:rPr>
                <w:lang w:eastAsia="en-US"/>
              </w:rPr>
            </w:pPr>
            <w:r w:rsidRPr="00C45909">
              <w:rPr>
                <w:lang w:eastAsia="en-US"/>
              </w:rPr>
              <w:t>472.90</w:t>
            </w:r>
          </w:p>
        </w:tc>
        <w:tc>
          <w:tcPr>
            <w:tcW w:w="1755" w:type="dxa"/>
            <w:tcBorders>
              <w:top w:val="nil"/>
              <w:left w:val="nil"/>
              <w:bottom w:val="nil"/>
              <w:right w:val="single" w:sz="8" w:space="0" w:color="auto"/>
            </w:tcBorders>
            <w:vAlign w:val="center"/>
            <w:hideMark/>
          </w:tcPr>
          <w:p w:rsidR="00D532DB" w:rsidRPr="00584F18" w:rsidRDefault="00D532DB" w:rsidP="00757FFD">
            <w:pPr>
              <w:spacing w:line="256" w:lineRule="auto"/>
              <w:jc w:val="center"/>
              <w:rPr>
                <w:lang w:eastAsia="en-US"/>
              </w:rPr>
            </w:pPr>
            <w:r w:rsidRPr="00584F18">
              <w:rPr>
                <w:lang w:eastAsia="en-US"/>
              </w:rPr>
              <w:t>0.66</w:t>
            </w:r>
          </w:p>
        </w:tc>
      </w:tr>
      <w:tr w:rsidR="00D532DB" w:rsidTr="00BF0506">
        <w:tc>
          <w:tcPr>
            <w:tcW w:w="4536" w:type="dxa"/>
            <w:gridSpan w:val="2"/>
            <w:tcBorders>
              <w:top w:val="nil"/>
              <w:left w:val="single" w:sz="8" w:space="0" w:color="auto"/>
              <w:bottom w:val="nil"/>
              <w:right w:val="single" w:sz="8" w:space="0" w:color="000000"/>
            </w:tcBorders>
            <w:vAlign w:val="center"/>
            <w:hideMark/>
          </w:tcPr>
          <w:p w:rsidR="00D532DB" w:rsidRPr="00C45909" w:rsidRDefault="00D532DB" w:rsidP="00757FFD">
            <w:pPr>
              <w:spacing w:line="256" w:lineRule="auto"/>
              <w:rPr>
                <w:lang w:eastAsia="en-US"/>
              </w:rPr>
            </w:pPr>
            <w:r w:rsidRPr="00C45909">
              <w:rPr>
                <w:lang w:eastAsia="en-US"/>
              </w:rPr>
              <w:t>Long-term loans (Local Authorities)</w:t>
            </w:r>
          </w:p>
        </w:tc>
        <w:tc>
          <w:tcPr>
            <w:tcW w:w="1778" w:type="dxa"/>
            <w:tcBorders>
              <w:top w:val="nil"/>
              <w:left w:val="nil"/>
              <w:bottom w:val="nil"/>
              <w:right w:val="single" w:sz="8" w:space="0" w:color="auto"/>
            </w:tcBorders>
            <w:vAlign w:val="center"/>
            <w:hideMark/>
          </w:tcPr>
          <w:p w:rsidR="00D532DB" w:rsidRPr="00C45909" w:rsidRDefault="00D532DB" w:rsidP="00757FFD">
            <w:pPr>
              <w:spacing w:line="256" w:lineRule="auto"/>
              <w:jc w:val="center"/>
              <w:rPr>
                <w:lang w:eastAsia="en-US"/>
              </w:rPr>
            </w:pPr>
            <w:r w:rsidRPr="00C45909">
              <w:rPr>
                <w:lang w:eastAsia="en-US"/>
              </w:rPr>
              <w:t>167.50</w:t>
            </w:r>
          </w:p>
        </w:tc>
        <w:tc>
          <w:tcPr>
            <w:tcW w:w="1755" w:type="dxa"/>
            <w:tcBorders>
              <w:top w:val="nil"/>
              <w:left w:val="nil"/>
              <w:bottom w:val="nil"/>
              <w:right w:val="single" w:sz="8" w:space="0" w:color="auto"/>
            </w:tcBorders>
            <w:vAlign w:val="center"/>
            <w:hideMark/>
          </w:tcPr>
          <w:p w:rsidR="00D532DB" w:rsidRPr="00584F18" w:rsidRDefault="00D532DB" w:rsidP="00757FFD">
            <w:pPr>
              <w:spacing w:line="256" w:lineRule="auto"/>
              <w:jc w:val="center"/>
              <w:rPr>
                <w:lang w:eastAsia="en-US"/>
              </w:rPr>
            </w:pPr>
            <w:r w:rsidRPr="00584F18">
              <w:rPr>
                <w:lang w:eastAsia="en-US"/>
              </w:rPr>
              <w:t>1.53</w:t>
            </w:r>
          </w:p>
        </w:tc>
      </w:tr>
      <w:tr w:rsidR="00D532DB" w:rsidTr="00BF0506">
        <w:tc>
          <w:tcPr>
            <w:tcW w:w="4536" w:type="dxa"/>
            <w:gridSpan w:val="2"/>
            <w:tcBorders>
              <w:top w:val="nil"/>
              <w:left w:val="single" w:sz="8" w:space="0" w:color="auto"/>
              <w:bottom w:val="nil"/>
              <w:right w:val="single" w:sz="8" w:space="0" w:color="000000"/>
            </w:tcBorders>
            <w:vAlign w:val="center"/>
            <w:hideMark/>
          </w:tcPr>
          <w:p w:rsidR="00D532DB" w:rsidRPr="00C45909" w:rsidRDefault="00072E24" w:rsidP="00757FFD">
            <w:pPr>
              <w:spacing w:line="256" w:lineRule="auto"/>
              <w:rPr>
                <w:lang w:eastAsia="en-US"/>
              </w:rPr>
            </w:pPr>
            <w:r>
              <w:rPr>
                <w:lang w:eastAsia="en-US"/>
              </w:rPr>
              <w:t>Shared Investment Scheme*</w:t>
            </w:r>
          </w:p>
        </w:tc>
        <w:tc>
          <w:tcPr>
            <w:tcW w:w="1778" w:type="dxa"/>
            <w:tcBorders>
              <w:top w:val="nil"/>
              <w:left w:val="nil"/>
              <w:bottom w:val="nil"/>
              <w:right w:val="single" w:sz="8" w:space="0" w:color="auto"/>
            </w:tcBorders>
            <w:vAlign w:val="center"/>
            <w:hideMark/>
          </w:tcPr>
          <w:p w:rsidR="00D532DB" w:rsidRPr="00C45909" w:rsidRDefault="00D532DB" w:rsidP="00757FFD">
            <w:pPr>
              <w:spacing w:line="256" w:lineRule="auto"/>
              <w:jc w:val="center"/>
              <w:rPr>
                <w:lang w:eastAsia="en-US"/>
              </w:rPr>
            </w:pPr>
            <w:r>
              <w:rPr>
                <w:lang w:eastAsia="en-US"/>
              </w:rPr>
              <w:t>68.39</w:t>
            </w:r>
          </w:p>
        </w:tc>
        <w:tc>
          <w:tcPr>
            <w:tcW w:w="1755" w:type="dxa"/>
            <w:tcBorders>
              <w:top w:val="nil"/>
              <w:left w:val="nil"/>
              <w:bottom w:val="nil"/>
              <w:right w:val="single" w:sz="8" w:space="0" w:color="auto"/>
            </w:tcBorders>
            <w:vAlign w:val="center"/>
            <w:hideMark/>
          </w:tcPr>
          <w:p w:rsidR="00D532DB" w:rsidRPr="00584F18" w:rsidRDefault="00D532DB" w:rsidP="00757FFD">
            <w:pPr>
              <w:spacing w:line="256" w:lineRule="auto"/>
              <w:jc w:val="center"/>
              <w:rPr>
                <w:lang w:eastAsia="en-US"/>
              </w:rPr>
            </w:pPr>
            <w:r w:rsidRPr="00584F18">
              <w:rPr>
                <w:lang w:eastAsia="en-US"/>
              </w:rPr>
              <w:t>0.65</w:t>
            </w:r>
          </w:p>
        </w:tc>
      </w:tr>
      <w:tr w:rsidR="00D532DB" w:rsidTr="00BF0506">
        <w:tc>
          <w:tcPr>
            <w:tcW w:w="4536" w:type="dxa"/>
            <w:gridSpan w:val="2"/>
            <w:tcBorders>
              <w:top w:val="nil"/>
              <w:left w:val="single" w:sz="8" w:space="0" w:color="auto"/>
              <w:bottom w:val="nil"/>
              <w:right w:val="single" w:sz="8" w:space="0" w:color="000000"/>
            </w:tcBorders>
            <w:vAlign w:val="center"/>
            <w:hideMark/>
          </w:tcPr>
          <w:p w:rsidR="00D532DB" w:rsidRPr="00C45909" w:rsidRDefault="00D532DB" w:rsidP="00757FFD">
            <w:pPr>
              <w:spacing w:line="256" w:lineRule="auto"/>
              <w:rPr>
                <w:lang w:eastAsia="en-US"/>
              </w:rPr>
            </w:pPr>
            <w:r w:rsidRPr="00C45909">
              <w:rPr>
                <w:lang w:eastAsia="en-US"/>
              </w:rPr>
              <w:t>Long-term PWLB loans</w:t>
            </w:r>
          </w:p>
        </w:tc>
        <w:tc>
          <w:tcPr>
            <w:tcW w:w="1778" w:type="dxa"/>
            <w:tcBorders>
              <w:top w:val="nil"/>
              <w:left w:val="nil"/>
              <w:bottom w:val="nil"/>
              <w:right w:val="single" w:sz="8" w:space="0" w:color="auto"/>
            </w:tcBorders>
            <w:vAlign w:val="center"/>
            <w:hideMark/>
          </w:tcPr>
          <w:p w:rsidR="00D532DB" w:rsidRPr="00C45909" w:rsidRDefault="00D532DB" w:rsidP="00757FFD">
            <w:pPr>
              <w:spacing w:line="256" w:lineRule="auto"/>
              <w:jc w:val="center"/>
              <w:rPr>
                <w:lang w:eastAsia="en-US"/>
              </w:rPr>
            </w:pPr>
            <w:r w:rsidRPr="00C45909">
              <w:rPr>
                <w:lang w:eastAsia="en-US"/>
              </w:rPr>
              <w:t>338.85</w:t>
            </w:r>
          </w:p>
        </w:tc>
        <w:tc>
          <w:tcPr>
            <w:tcW w:w="1755" w:type="dxa"/>
            <w:tcBorders>
              <w:top w:val="nil"/>
              <w:left w:val="nil"/>
              <w:bottom w:val="nil"/>
              <w:right w:val="single" w:sz="8" w:space="0" w:color="auto"/>
            </w:tcBorders>
            <w:vAlign w:val="center"/>
            <w:hideMark/>
          </w:tcPr>
          <w:p w:rsidR="00D532DB" w:rsidRPr="00584F18" w:rsidRDefault="00D532DB" w:rsidP="00757FFD">
            <w:pPr>
              <w:spacing w:line="256" w:lineRule="auto"/>
              <w:jc w:val="center"/>
              <w:rPr>
                <w:lang w:eastAsia="en-US"/>
              </w:rPr>
            </w:pPr>
            <w:r>
              <w:rPr>
                <w:lang w:eastAsia="en-US"/>
              </w:rPr>
              <w:t>3.07</w:t>
            </w:r>
          </w:p>
        </w:tc>
      </w:tr>
      <w:tr w:rsidR="00D532DB" w:rsidTr="00BF0506">
        <w:tc>
          <w:tcPr>
            <w:tcW w:w="4536" w:type="dxa"/>
            <w:gridSpan w:val="2"/>
            <w:tcBorders>
              <w:top w:val="nil"/>
              <w:left w:val="single" w:sz="8" w:space="0" w:color="auto"/>
              <w:bottom w:val="single" w:sz="8" w:space="0" w:color="auto"/>
              <w:right w:val="single" w:sz="8" w:space="0" w:color="000000"/>
            </w:tcBorders>
            <w:vAlign w:val="center"/>
            <w:hideMark/>
          </w:tcPr>
          <w:p w:rsidR="00D532DB" w:rsidRPr="00C45909" w:rsidRDefault="00D532DB" w:rsidP="00757FFD">
            <w:pPr>
              <w:spacing w:line="256" w:lineRule="auto"/>
              <w:rPr>
                <w:lang w:eastAsia="en-US"/>
              </w:rPr>
            </w:pPr>
            <w:r w:rsidRPr="00C45909">
              <w:rPr>
                <w:lang w:eastAsia="en-US"/>
              </w:rPr>
              <w:t>Long-term market loans (LOBOs)</w:t>
            </w:r>
          </w:p>
        </w:tc>
        <w:tc>
          <w:tcPr>
            <w:tcW w:w="1778" w:type="dxa"/>
            <w:tcBorders>
              <w:top w:val="nil"/>
              <w:left w:val="nil"/>
              <w:bottom w:val="single" w:sz="8" w:space="0" w:color="auto"/>
              <w:right w:val="single" w:sz="8" w:space="0" w:color="auto"/>
            </w:tcBorders>
            <w:vAlign w:val="center"/>
            <w:hideMark/>
          </w:tcPr>
          <w:p w:rsidR="00D532DB" w:rsidRPr="00C45909" w:rsidRDefault="00D532DB" w:rsidP="00757FFD">
            <w:pPr>
              <w:spacing w:line="256" w:lineRule="auto"/>
              <w:jc w:val="center"/>
              <w:rPr>
                <w:lang w:eastAsia="en-US"/>
              </w:rPr>
            </w:pPr>
            <w:r w:rsidRPr="00C45909">
              <w:rPr>
                <w:lang w:eastAsia="en-US"/>
              </w:rPr>
              <w:t>51.78</w:t>
            </w:r>
          </w:p>
        </w:tc>
        <w:tc>
          <w:tcPr>
            <w:tcW w:w="1755" w:type="dxa"/>
            <w:tcBorders>
              <w:top w:val="nil"/>
              <w:left w:val="nil"/>
              <w:bottom w:val="single" w:sz="8" w:space="0" w:color="auto"/>
              <w:right w:val="single" w:sz="8" w:space="0" w:color="auto"/>
            </w:tcBorders>
            <w:vAlign w:val="center"/>
            <w:hideMark/>
          </w:tcPr>
          <w:p w:rsidR="00D532DB" w:rsidRPr="00584F18" w:rsidRDefault="00D532DB" w:rsidP="00757FFD">
            <w:pPr>
              <w:spacing w:line="256" w:lineRule="auto"/>
              <w:jc w:val="center"/>
              <w:rPr>
                <w:lang w:eastAsia="en-US"/>
              </w:rPr>
            </w:pPr>
            <w:r>
              <w:rPr>
                <w:lang w:eastAsia="en-US"/>
              </w:rPr>
              <w:t>5.23</w:t>
            </w:r>
          </w:p>
        </w:tc>
      </w:tr>
      <w:tr w:rsidR="00D532DB" w:rsidTr="00BF0506">
        <w:tc>
          <w:tcPr>
            <w:tcW w:w="4536" w:type="dxa"/>
            <w:gridSpan w:val="2"/>
            <w:tcBorders>
              <w:top w:val="single" w:sz="8" w:space="0" w:color="auto"/>
              <w:left w:val="single" w:sz="8" w:space="0" w:color="auto"/>
              <w:bottom w:val="nil"/>
              <w:right w:val="single" w:sz="8" w:space="0" w:color="000000"/>
            </w:tcBorders>
            <w:vAlign w:val="center"/>
            <w:hideMark/>
          </w:tcPr>
          <w:p w:rsidR="00D532DB" w:rsidRPr="00995167" w:rsidRDefault="00D532DB" w:rsidP="00757FFD">
            <w:pPr>
              <w:spacing w:line="256" w:lineRule="auto"/>
              <w:rPr>
                <w:b/>
                <w:bCs/>
                <w:lang w:eastAsia="en-US"/>
              </w:rPr>
            </w:pPr>
            <w:r w:rsidRPr="00995167">
              <w:rPr>
                <w:b/>
                <w:bCs/>
                <w:lang w:eastAsia="en-US"/>
              </w:rPr>
              <w:t>Total Borrowing</w:t>
            </w:r>
          </w:p>
        </w:tc>
        <w:tc>
          <w:tcPr>
            <w:tcW w:w="1778" w:type="dxa"/>
            <w:tcBorders>
              <w:top w:val="nil"/>
              <w:left w:val="nil"/>
              <w:bottom w:val="nil"/>
              <w:right w:val="single" w:sz="8" w:space="0" w:color="auto"/>
            </w:tcBorders>
            <w:vAlign w:val="center"/>
            <w:hideMark/>
          </w:tcPr>
          <w:p w:rsidR="00D532DB" w:rsidRPr="00995167" w:rsidRDefault="00D532DB" w:rsidP="00757FFD">
            <w:pPr>
              <w:spacing w:line="256" w:lineRule="auto"/>
              <w:jc w:val="center"/>
              <w:rPr>
                <w:b/>
                <w:bCs/>
                <w:lang w:eastAsia="en-US"/>
              </w:rPr>
            </w:pPr>
            <w:r w:rsidRPr="00995167">
              <w:rPr>
                <w:b/>
                <w:bCs/>
                <w:lang w:eastAsia="en-US"/>
              </w:rPr>
              <w:t>1,099.42</w:t>
            </w:r>
          </w:p>
        </w:tc>
        <w:tc>
          <w:tcPr>
            <w:tcW w:w="1755" w:type="dxa"/>
            <w:tcBorders>
              <w:top w:val="nil"/>
              <w:left w:val="nil"/>
              <w:bottom w:val="nil"/>
              <w:right w:val="single" w:sz="8" w:space="0" w:color="auto"/>
            </w:tcBorders>
            <w:vAlign w:val="center"/>
            <w:hideMark/>
          </w:tcPr>
          <w:p w:rsidR="00D532DB" w:rsidRPr="00584F18" w:rsidRDefault="00D532DB" w:rsidP="00757FFD">
            <w:pPr>
              <w:spacing w:line="256" w:lineRule="auto"/>
              <w:jc w:val="center"/>
              <w:rPr>
                <w:b/>
                <w:bCs/>
                <w:lang w:eastAsia="en-US"/>
              </w:rPr>
            </w:pPr>
            <w:r w:rsidRPr="00584F18">
              <w:rPr>
                <w:b/>
                <w:bCs/>
                <w:lang w:eastAsia="en-US"/>
              </w:rPr>
              <w:t>1.</w:t>
            </w:r>
            <w:r>
              <w:rPr>
                <w:b/>
                <w:bCs/>
                <w:lang w:eastAsia="en-US"/>
              </w:rPr>
              <w:t>75</w:t>
            </w:r>
          </w:p>
        </w:tc>
      </w:tr>
      <w:tr w:rsidR="00D532DB" w:rsidTr="00BF0506">
        <w:tc>
          <w:tcPr>
            <w:tcW w:w="4536" w:type="dxa"/>
            <w:gridSpan w:val="2"/>
            <w:tcBorders>
              <w:top w:val="nil"/>
              <w:left w:val="single" w:sz="4" w:space="0" w:color="auto"/>
              <w:bottom w:val="nil"/>
              <w:right w:val="single" w:sz="4" w:space="0" w:color="auto"/>
            </w:tcBorders>
          </w:tcPr>
          <w:p w:rsidR="00D532DB" w:rsidRPr="0072545C" w:rsidRDefault="00D532DB" w:rsidP="00757FFD">
            <w:pPr>
              <w:spacing w:line="256" w:lineRule="auto"/>
              <w:rPr>
                <w:b/>
                <w:highlight w:val="yellow"/>
                <w:lang w:eastAsia="en-US"/>
              </w:rPr>
            </w:pPr>
          </w:p>
        </w:tc>
        <w:tc>
          <w:tcPr>
            <w:tcW w:w="1778" w:type="dxa"/>
            <w:tcBorders>
              <w:top w:val="nil"/>
              <w:left w:val="single" w:sz="4" w:space="0" w:color="auto"/>
              <w:bottom w:val="nil"/>
              <w:right w:val="single" w:sz="4" w:space="0" w:color="auto"/>
            </w:tcBorders>
          </w:tcPr>
          <w:p w:rsidR="00D532DB" w:rsidRPr="0072545C" w:rsidRDefault="00D532DB" w:rsidP="00757FFD">
            <w:pPr>
              <w:spacing w:line="256" w:lineRule="auto"/>
              <w:jc w:val="right"/>
              <w:rPr>
                <w:b/>
                <w:highlight w:val="yellow"/>
                <w:lang w:eastAsia="en-US"/>
              </w:rPr>
            </w:pPr>
          </w:p>
        </w:tc>
        <w:tc>
          <w:tcPr>
            <w:tcW w:w="1755" w:type="dxa"/>
            <w:tcBorders>
              <w:top w:val="nil"/>
              <w:left w:val="single" w:sz="4" w:space="0" w:color="auto"/>
              <w:bottom w:val="nil"/>
              <w:right w:val="single" w:sz="4" w:space="0" w:color="auto"/>
            </w:tcBorders>
          </w:tcPr>
          <w:p w:rsidR="00D532DB" w:rsidRPr="0072545C" w:rsidRDefault="00D532DB" w:rsidP="00757FFD">
            <w:pPr>
              <w:spacing w:line="256" w:lineRule="auto"/>
              <w:jc w:val="right"/>
              <w:rPr>
                <w:b/>
                <w:highlight w:val="yellow"/>
                <w:lang w:eastAsia="en-US"/>
              </w:rPr>
            </w:pPr>
          </w:p>
        </w:tc>
      </w:tr>
      <w:tr w:rsidR="00D532DB" w:rsidTr="00BF0506">
        <w:tc>
          <w:tcPr>
            <w:tcW w:w="4536" w:type="dxa"/>
            <w:gridSpan w:val="2"/>
            <w:tcBorders>
              <w:top w:val="nil"/>
              <w:left w:val="single" w:sz="4" w:space="0" w:color="auto"/>
              <w:bottom w:val="single" w:sz="4" w:space="0" w:color="auto"/>
              <w:right w:val="single" w:sz="4" w:space="0" w:color="auto"/>
            </w:tcBorders>
            <w:hideMark/>
          </w:tcPr>
          <w:p w:rsidR="00D532DB" w:rsidRPr="00995167" w:rsidRDefault="00D532DB" w:rsidP="00757FFD">
            <w:pPr>
              <w:spacing w:line="256" w:lineRule="auto"/>
              <w:rPr>
                <w:b/>
                <w:lang w:eastAsia="en-US"/>
              </w:rPr>
            </w:pPr>
            <w:r w:rsidRPr="00995167">
              <w:rPr>
                <w:b/>
                <w:lang w:eastAsia="en-US"/>
              </w:rPr>
              <w:t xml:space="preserve">Net Borrowing </w:t>
            </w:r>
          </w:p>
        </w:tc>
        <w:tc>
          <w:tcPr>
            <w:tcW w:w="1778" w:type="dxa"/>
            <w:tcBorders>
              <w:top w:val="nil"/>
              <w:left w:val="single" w:sz="4" w:space="0" w:color="auto"/>
              <w:bottom w:val="single" w:sz="4" w:space="0" w:color="auto"/>
              <w:right w:val="single" w:sz="4" w:space="0" w:color="auto"/>
            </w:tcBorders>
            <w:hideMark/>
          </w:tcPr>
          <w:p w:rsidR="00D532DB" w:rsidRPr="00995167" w:rsidRDefault="003A2878" w:rsidP="00757FFD">
            <w:pPr>
              <w:spacing w:line="256" w:lineRule="auto"/>
              <w:jc w:val="center"/>
              <w:rPr>
                <w:b/>
                <w:bCs/>
                <w:lang w:eastAsia="en-US"/>
              </w:rPr>
            </w:pPr>
            <w:r>
              <w:rPr>
                <w:b/>
                <w:bCs/>
                <w:lang w:eastAsia="en-US"/>
              </w:rPr>
              <w:t>429.94</w:t>
            </w:r>
          </w:p>
        </w:tc>
        <w:tc>
          <w:tcPr>
            <w:tcW w:w="1755" w:type="dxa"/>
            <w:tcBorders>
              <w:top w:val="nil"/>
              <w:left w:val="single" w:sz="4" w:space="0" w:color="auto"/>
              <w:bottom w:val="single" w:sz="4" w:space="0" w:color="auto"/>
              <w:right w:val="single" w:sz="4" w:space="0" w:color="auto"/>
            </w:tcBorders>
          </w:tcPr>
          <w:p w:rsidR="00D532DB" w:rsidRPr="0072545C" w:rsidRDefault="00D532DB" w:rsidP="00757FFD">
            <w:pPr>
              <w:spacing w:line="256" w:lineRule="auto"/>
              <w:jc w:val="right"/>
              <w:rPr>
                <w:b/>
                <w:highlight w:val="yellow"/>
                <w:lang w:eastAsia="en-US"/>
              </w:rPr>
            </w:pPr>
          </w:p>
        </w:tc>
      </w:tr>
    </w:tbl>
    <w:p w:rsidR="00D1046F" w:rsidRDefault="00D1046F" w:rsidP="00D1046F">
      <w:pPr>
        <w:jc w:val="both"/>
      </w:pPr>
    </w:p>
    <w:p w:rsidR="00FF698E" w:rsidRPr="0072545C" w:rsidRDefault="00FF698E" w:rsidP="00272267">
      <w:pPr>
        <w:jc w:val="both"/>
        <w:rPr>
          <w:highlight w:val="yellow"/>
        </w:rPr>
      </w:pPr>
    </w:p>
    <w:p w:rsidR="00BB4587" w:rsidRPr="00974969" w:rsidRDefault="00AA4E42" w:rsidP="000A1B41">
      <w:pPr>
        <w:jc w:val="both"/>
      </w:pPr>
      <w:r w:rsidRPr="00BF0506">
        <w:t xml:space="preserve">* Please refer to the Glossary </w:t>
      </w:r>
      <w:r w:rsidR="00BE2FED" w:rsidRPr="00BF0506">
        <w:t xml:space="preserve">in Appendix C </w:t>
      </w:r>
      <w:r w:rsidRPr="00BF0506">
        <w:t>for further information.</w:t>
      </w:r>
      <w:r w:rsidRPr="00974969">
        <w:t xml:space="preserve"> </w:t>
      </w:r>
    </w:p>
    <w:p w:rsidR="000E0C11" w:rsidRDefault="000E0C11" w:rsidP="0040630B">
      <w:pPr>
        <w:jc w:val="both"/>
        <w:rPr>
          <w:highlight w:val="yellow"/>
        </w:rPr>
      </w:pPr>
    </w:p>
    <w:p w:rsidR="00383F1D" w:rsidRDefault="00383F1D" w:rsidP="0040630B">
      <w:pPr>
        <w:jc w:val="both"/>
        <w:rPr>
          <w:highlight w:val="yellow"/>
        </w:rPr>
      </w:pPr>
    </w:p>
    <w:p w:rsidR="00243205" w:rsidRDefault="00243205" w:rsidP="0040630B">
      <w:pPr>
        <w:jc w:val="both"/>
        <w:rPr>
          <w:highlight w:val="yellow"/>
        </w:rPr>
      </w:pPr>
    </w:p>
    <w:p w:rsidR="00383F1D" w:rsidRPr="001143BB" w:rsidRDefault="00383F1D" w:rsidP="0040630B">
      <w:pPr>
        <w:jc w:val="both"/>
        <w:rPr>
          <w:highlight w:val="yellow"/>
        </w:rPr>
      </w:pPr>
    </w:p>
    <w:p w:rsidR="00860C00" w:rsidRPr="00664574" w:rsidRDefault="00F4760B" w:rsidP="0040630B">
      <w:pPr>
        <w:jc w:val="both"/>
      </w:pPr>
      <w:r w:rsidRPr="00BF0506">
        <w:lastRenderedPageBreak/>
        <w:t>3.</w:t>
      </w:r>
      <w:r w:rsidR="00664574" w:rsidRPr="00BF0506">
        <w:t>3</w:t>
      </w:r>
      <w:r w:rsidRPr="00BF0506">
        <w:t xml:space="preserve"> </w:t>
      </w:r>
      <w:r w:rsidR="004A19C1" w:rsidRPr="00BF0506">
        <w:t>Prospects for Interest Rates and Market Liquidity</w:t>
      </w:r>
    </w:p>
    <w:p w:rsidR="0040630B" w:rsidRPr="00E15A53" w:rsidRDefault="0040630B" w:rsidP="0040630B">
      <w:pPr>
        <w:jc w:val="both"/>
      </w:pPr>
    </w:p>
    <w:p w:rsidR="006F5953" w:rsidRDefault="000A7B0E" w:rsidP="006F5953">
      <w:pPr>
        <w:pStyle w:val="ListParagraph"/>
        <w:ind w:left="0"/>
        <w:jc w:val="both"/>
      </w:pPr>
      <w:r w:rsidRPr="00E15A53">
        <w:t xml:space="preserve">In planning the treasury management strategy, the Council will consider the prevailing and forecast interest rate situation. Regular forecasts of interest rates are provided by </w:t>
      </w:r>
      <w:proofErr w:type="spellStart"/>
      <w:r w:rsidRPr="00E15A53">
        <w:t>Arlingclose</w:t>
      </w:r>
      <w:proofErr w:type="spellEnd"/>
      <w:r w:rsidRPr="00E15A53">
        <w:t xml:space="preserve"> Ltd, treasury management advisers to the </w:t>
      </w:r>
      <w:r w:rsidR="00860C00">
        <w:t>C</w:t>
      </w:r>
      <w:r w:rsidR="00F25AD0">
        <w:t xml:space="preserve">ounty </w:t>
      </w:r>
      <w:r w:rsidR="00860C00">
        <w:t>C</w:t>
      </w:r>
      <w:r w:rsidR="00F25AD0">
        <w:t>ouncil</w:t>
      </w:r>
      <w:r w:rsidRPr="00E15A53">
        <w:t xml:space="preserve">. </w:t>
      </w:r>
      <w:r w:rsidR="007B5245">
        <w:t xml:space="preserve">The Chief </w:t>
      </w:r>
      <w:r w:rsidR="000E4A66">
        <w:t>I</w:t>
      </w:r>
      <w:r w:rsidR="007B5245">
        <w:t xml:space="preserve">nvestment </w:t>
      </w:r>
      <w:r w:rsidR="000E4A66">
        <w:t>O</w:t>
      </w:r>
      <w:r w:rsidR="007B5245">
        <w:t xml:space="preserve">fficer for the Council also provides a view on interest rate forecasts based on </w:t>
      </w:r>
      <w:r w:rsidR="000E4A66">
        <w:t xml:space="preserve">current and future </w:t>
      </w:r>
      <w:r w:rsidR="007B5245">
        <w:t>market data</w:t>
      </w:r>
      <w:r w:rsidR="000E4A66">
        <w:t>.</w:t>
      </w:r>
    </w:p>
    <w:p w:rsidR="00860C00" w:rsidRDefault="00860C00" w:rsidP="006F5953">
      <w:pPr>
        <w:pStyle w:val="ListParagraph"/>
        <w:ind w:left="0"/>
        <w:jc w:val="both"/>
      </w:pPr>
    </w:p>
    <w:p w:rsidR="00D532DB" w:rsidRDefault="00860C00" w:rsidP="00860C00">
      <w:pPr>
        <w:pStyle w:val="ListParagraph"/>
        <w:ind w:left="0"/>
        <w:contextualSpacing w:val="0"/>
        <w:jc w:val="both"/>
      </w:pPr>
      <w:proofErr w:type="spellStart"/>
      <w:r w:rsidRPr="00860C00">
        <w:t>Arlingclose</w:t>
      </w:r>
      <w:proofErr w:type="spellEnd"/>
      <w:r>
        <w:t xml:space="preserve"> Ltd </w:t>
      </w:r>
      <w:r w:rsidRPr="00860C00">
        <w:t xml:space="preserve">projects the first 0.25% increase in UK Bank Rate </w:t>
      </w:r>
      <w:r w:rsidR="00BB4587">
        <w:t xml:space="preserve">for </w:t>
      </w:r>
      <w:r w:rsidRPr="00860C00">
        <w:t>the third quarter of 2016, rising by 0.5% a year thereafter, finally settling between 2% and 3% in several years’ time. Persistently low inflation, subdued global growth and potential concerns over the UK’s position in Europe mean that the risks to this forecast are weighted towards the downside.</w:t>
      </w:r>
      <w:r w:rsidR="00750FB1">
        <w:t xml:space="preserve"> </w:t>
      </w:r>
    </w:p>
    <w:p w:rsidR="00860C00" w:rsidRPr="00860C00" w:rsidRDefault="00860C00" w:rsidP="00860C00">
      <w:pPr>
        <w:pStyle w:val="ListParagraph"/>
        <w:ind w:left="0"/>
        <w:contextualSpacing w:val="0"/>
        <w:jc w:val="both"/>
      </w:pPr>
    </w:p>
    <w:p w:rsidR="00860C00" w:rsidRPr="00860C00" w:rsidRDefault="00860C00" w:rsidP="00860C00">
      <w:pPr>
        <w:pStyle w:val="ListParagraph"/>
        <w:ind w:left="0"/>
        <w:contextualSpacing w:val="0"/>
        <w:jc w:val="both"/>
      </w:pPr>
      <w:r w:rsidRPr="00860C00">
        <w:t xml:space="preserve">A shallow upward path for medium term gilt yields is forecast, as continuing concerns about the Eurozone, emerging markets and other geo-political events weigh on risk appetite, while inflation expectations remain subdued. </w:t>
      </w:r>
      <w:proofErr w:type="spellStart"/>
      <w:r w:rsidRPr="00860C00">
        <w:t>Arlingclose</w:t>
      </w:r>
      <w:proofErr w:type="spellEnd"/>
      <w:r w:rsidRPr="00860C00">
        <w:t xml:space="preserve"> projects the 10 year gilt yield to rise from its current 2.0% level by around 0.3% a year. The uncertainties surrounding the timing of UK and US interest rate rises are likely to prompt short-term volatility in gilt yields.</w:t>
      </w:r>
      <w:r w:rsidR="00750FB1">
        <w:t xml:space="preserve"> </w:t>
      </w:r>
    </w:p>
    <w:p w:rsidR="00860C00" w:rsidRDefault="00860C00" w:rsidP="006F5953">
      <w:pPr>
        <w:pStyle w:val="ListParagraph"/>
        <w:ind w:left="0"/>
        <w:jc w:val="both"/>
      </w:pPr>
    </w:p>
    <w:p w:rsidR="00860C00" w:rsidRDefault="00860C00" w:rsidP="006F5953">
      <w:pPr>
        <w:pStyle w:val="ListParagraph"/>
        <w:ind w:left="0"/>
        <w:jc w:val="both"/>
      </w:pPr>
    </w:p>
    <w:p w:rsidR="00860C00" w:rsidRDefault="00860C00" w:rsidP="006F5953">
      <w:pPr>
        <w:pStyle w:val="ListParagraph"/>
        <w:ind w:left="0"/>
        <w:jc w:val="both"/>
      </w:pPr>
      <w:r>
        <w:rPr>
          <w:noProof/>
        </w:rPr>
        <w:drawing>
          <wp:inline distT="0" distB="0" distL="0" distR="0" wp14:anchorId="74BFD938" wp14:editId="4DC1D7E0">
            <wp:extent cx="5933440" cy="3656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3440" cy="3656965"/>
                    </a:xfrm>
                    <a:prstGeom prst="rect">
                      <a:avLst/>
                    </a:prstGeom>
                    <a:noFill/>
                  </pic:spPr>
                </pic:pic>
              </a:graphicData>
            </a:graphic>
          </wp:inline>
        </w:drawing>
      </w:r>
    </w:p>
    <w:p w:rsidR="00213E43" w:rsidRDefault="000A7B0E" w:rsidP="000E0C11">
      <w:pPr>
        <w:pStyle w:val="BodyText"/>
        <w:jc w:val="both"/>
        <w:rPr>
          <w:b/>
        </w:rPr>
      </w:pPr>
      <w:r w:rsidRPr="00E15A53">
        <w:rPr>
          <w:b/>
        </w:rPr>
        <w:t xml:space="preserve">            </w:t>
      </w:r>
    </w:p>
    <w:p w:rsidR="00D532DB" w:rsidRPr="00BF0506" w:rsidRDefault="003D786D" w:rsidP="00F861B8">
      <w:pPr>
        <w:pStyle w:val="BodyText"/>
        <w:jc w:val="both"/>
      </w:pPr>
      <w:r>
        <w:t>In addition u</w:t>
      </w:r>
      <w:r w:rsidR="00547D18" w:rsidRPr="00BF0506">
        <w:t xml:space="preserve">ncertainty surrounding the </w:t>
      </w:r>
      <w:r w:rsidR="00547D18">
        <w:t>in/out EU</w:t>
      </w:r>
      <w:r w:rsidR="00547D18" w:rsidRPr="00BF0506">
        <w:t xml:space="preserve"> referendum</w:t>
      </w:r>
      <w:r w:rsidR="00547D18">
        <w:t xml:space="preserve"> is likely to prove a drag on growth during 2016 with the </w:t>
      </w:r>
      <w:r>
        <w:t xml:space="preserve">threat of </w:t>
      </w:r>
      <w:r w:rsidR="00547D18">
        <w:t>large market</w:t>
      </w:r>
      <w:r w:rsidR="00D532DB" w:rsidRPr="00BF0506">
        <w:t xml:space="preserve"> risks involved in any Brexit </w:t>
      </w:r>
      <w:r w:rsidR="00547D18">
        <w:t>resulting in</w:t>
      </w:r>
      <w:r>
        <w:t xml:space="preserve"> </w:t>
      </w:r>
      <w:r w:rsidR="00D532DB" w:rsidRPr="00BF0506">
        <w:t>slower/negative growth</w:t>
      </w:r>
      <w:r>
        <w:t>, currency weakness</w:t>
      </w:r>
      <w:r w:rsidR="00D532DB" w:rsidRPr="00BF0506">
        <w:t xml:space="preserve"> and therefore further rate suppression.</w:t>
      </w:r>
    </w:p>
    <w:p w:rsidR="00383F1D" w:rsidRDefault="000A7B0E" w:rsidP="00F861B8">
      <w:pPr>
        <w:pStyle w:val="BodyText"/>
        <w:jc w:val="both"/>
        <w:rPr>
          <w:b/>
          <w:highlight w:val="yellow"/>
        </w:rPr>
      </w:pPr>
      <w:r w:rsidRPr="001143BB">
        <w:rPr>
          <w:b/>
          <w:highlight w:val="yellow"/>
        </w:rPr>
        <w:t xml:space="preserve">             </w:t>
      </w:r>
    </w:p>
    <w:p w:rsidR="00AA4E42" w:rsidRDefault="000A7B0E" w:rsidP="00F861B8">
      <w:pPr>
        <w:pStyle w:val="BodyText"/>
        <w:jc w:val="both"/>
      </w:pPr>
      <w:r w:rsidRPr="001143BB">
        <w:rPr>
          <w:b/>
          <w:highlight w:val="yellow"/>
        </w:rPr>
        <w:t xml:space="preserve">             </w:t>
      </w:r>
    </w:p>
    <w:p w:rsidR="000A7B0E" w:rsidRDefault="00AB7742" w:rsidP="000A7B0E">
      <w:pPr>
        <w:jc w:val="both"/>
      </w:pPr>
      <w:proofErr w:type="spellStart"/>
      <w:r>
        <w:lastRenderedPageBreak/>
        <w:t>Arlingclose</w:t>
      </w:r>
      <w:proofErr w:type="spellEnd"/>
      <w:r>
        <w:t xml:space="preserve"> have based this forecast </w:t>
      </w:r>
      <w:r w:rsidR="000A7B0E" w:rsidRPr="000577C2">
        <w:t>on the following underlying assumptions:</w:t>
      </w:r>
    </w:p>
    <w:p w:rsidR="00F01551" w:rsidRDefault="00F01551" w:rsidP="000A7B0E">
      <w:pPr>
        <w:jc w:val="both"/>
      </w:pPr>
    </w:p>
    <w:p w:rsidR="00F01551" w:rsidRDefault="00F01551" w:rsidP="00383F1D">
      <w:pPr>
        <w:pStyle w:val="ListParagraph"/>
        <w:numPr>
          <w:ilvl w:val="0"/>
          <w:numId w:val="39"/>
        </w:numPr>
        <w:rPr>
          <w:bCs/>
        </w:rPr>
      </w:pPr>
      <w:r w:rsidRPr="00F01551">
        <w:rPr>
          <w:bCs/>
        </w:rPr>
        <w:t xml:space="preserve">UK economic growth softened in Q3 2015 but remained reasonably robust; the first estimate for the quarter was 0.5% and year-on-year growth fell slightly to 2.3%. </w:t>
      </w:r>
      <w:r w:rsidR="001F79A9">
        <w:rPr>
          <w:bCs/>
        </w:rPr>
        <w:t>C</w:t>
      </w:r>
      <w:r w:rsidRPr="00F01551">
        <w:rPr>
          <w:bCs/>
        </w:rPr>
        <w:t xml:space="preserve">onstruction </w:t>
      </w:r>
      <w:r w:rsidR="001F79A9">
        <w:rPr>
          <w:bCs/>
        </w:rPr>
        <w:t>falls were</w:t>
      </w:r>
      <w:r w:rsidRPr="00F01551">
        <w:rPr>
          <w:bCs/>
        </w:rPr>
        <w:t xml:space="preserve"> offset </w:t>
      </w:r>
      <w:r w:rsidR="001F79A9">
        <w:rPr>
          <w:bCs/>
        </w:rPr>
        <w:t>by fairly strong services output although</w:t>
      </w:r>
      <w:r w:rsidRPr="00F01551">
        <w:rPr>
          <w:bCs/>
        </w:rPr>
        <w:t xml:space="preserve"> survey estimates suggest upwards revisions to construction may be in the pipeline.</w:t>
      </w:r>
    </w:p>
    <w:p w:rsidR="00072E24" w:rsidRPr="00F01551" w:rsidRDefault="00072E24" w:rsidP="00383F1D">
      <w:pPr>
        <w:pStyle w:val="ListParagraph"/>
        <w:rPr>
          <w:bCs/>
        </w:rPr>
      </w:pPr>
    </w:p>
    <w:p w:rsidR="00F01551" w:rsidRDefault="00F01551" w:rsidP="00383F1D">
      <w:pPr>
        <w:pStyle w:val="ListParagraph"/>
        <w:numPr>
          <w:ilvl w:val="0"/>
          <w:numId w:val="39"/>
        </w:numPr>
        <w:rPr>
          <w:bCs/>
        </w:rPr>
      </w:pPr>
      <w:r w:rsidRPr="00F01551">
        <w:rPr>
          <w:bCs/>
        </w:rPr>
        <w:t>Household spending has been the main driver of GDP growth through 2014 and 2015 and remains key to growth. Consumption will continue to be supported by real wage and disposable income growth.</w:t>
      </w:r>
    </w:p>
    <w:p w:rsidR="00072E24" w:rsidRPr="00F01551" w:rsidRDefault="00072E24" w:rsidP="00383F1D">
      <w:pPr>
        <w:pStyle w:val="ListParagraph"/>
        <w:rPr>
          <w:bCs/>
        </w:rPr>
      </w:pPr>
    </w:p>
    <w:p w:rsidR="00F01551" w:rsidRDefault="00F01551" w:rsidP="00383F1D">
      <w:pPr>
        <w:pStyle w:val="ListParagraph"/>
        <w:numPr>
          <w:ilvl w:val="0"/>
          <w:numId w:val="39"/>
        </w:numPr>
        <w:rPr>
          <w:bCs/>
        </w:rPr>
      </w:pPr>
      <w:r w:rsidRPr="00F01551">
        <w:rPr>
          <w:bCs/>
        </w:rPr>
        <w:t>Annual average earnings growth was 3.0% in the three months to August. Given low inflation, real earnings and income growth continue to run at relatively strong levels and could feed directly into unit labour costs and households' disposable income. Improving productivity growth should support pay growth in the medium term. The development of wage growth is one of the factors being closely monitored by the MPC.</w:t>
      </w:r>
    </w:p>
    <w:p w:rsidR="00072E24" w:rsidRPr="00F01551" w:rsidRDefault="00072E24" w:rsidP="00383F1D">
      <w:pPr>
        <w:pStyle w:val="ListParagraph"/>
        <w:rPr>
          <w:bCs/>
        </w:rPr>
      </w:pPr>
    </w:p>
    <w:p w:rsidR="00F01551" w:rsidRDefault="00F01551" w:rsidP="00383F1D">
      <w:pPr>
        <w:pStyle w:val="ListParagraph"/>
        <w:numPr>
          <w:ilvl w:val="0"/>
          <w:numId w:val="39"/>
        </w:numPr>
        <w:rPr>
          <w:bCs/>
        </w:rPr>
      </w:pPr>
      <w:r w:rsidRPr="00F01551">
        <w:rPr>
          <w:bCs/>
        </w:rPr>
        <w:t>Business investment indicators continue to signal strong growth. However the outlook for business investment may be tempered by the looming EU referendum, increasing uncertainties surrounding global growth and recent financial market shocks.</w:t>
      </w:r>
    </w:p>
    <w:p w:rsidR="00072E24" w:rsidRPr="00F01551" w:rsidRDefault="00072E24" w:rsidP="00383F1D">
      <w:pPr>
        <w:pStyle w:val="ListParagraph"/>
        <w:rPr>
          <w:bCs/>
        </w:rPr>
      </w:pPr>
    </w:p>
    <w:p w:rsidR="00F01551" w:rsidRDefault="00F01551" w:rsidP="00383F1D">
      <w:pPr>
        <w:pStyle w:val="ListParagraph"/>
        <w:numPr>
          <w:ilvl w:val="0"/>
          <w:numId w:val="39"/>
        </w:numPr>
        <w:rPr>
          <w:bCs/>
        </w:rPr>
      </w:pPr>
      <w:r w:rsidRPr="00F01551">
        <w:rPr>
          <w:bCs/>
        </w:rPr>
        <w:t xml:space="preserve">Inflation is currently very low and, with a further fall in commodity prices, will likely remain so over the next 12 months. The CPI rate is likely to rise towards the end of 2016. </w:t>
      </w:r>
      <w:r w:rsidR="00750FB1">
        <w:rPr>
          <w:bCs/>
        </w:rPr>
        <w:t>If there are no further oil and commodity price declines</w:t>
      </w:r>
    </w:p>
    <w:p w:rsidR="00072E24" w:rsidRPr="00F01551" w:rsidRDefault="00072E24" w:rsidP="00383F1D">
      <w:pPr>
        <w:pStyle w:val="ListParagraph"/>
        <w:rPr>
          <w:bCs/>
        </w:rPr>
      </w:pPr>
    </w:p>
    <w:p w:rsidR="00F01551" w:rsidRDefault="00F01551" w:rsidP="00383F1D">
      <w:pPr>
        <w:pStyle w:val="ListParagraph"/>
        <w:numPr>
          <w:ilvl w:val="0"/>
          <w:numId w:val="39"/>
        </w:numPr>
        <w:rPr>
          <w:bCs/>
        </w:rPr>
      </w:pPr>
      <w:r w:rsidRPr="00F01551">
        <w:rPr>
          <w:bCs/>
        </w:rPr>
        <w:t>China's growth has slowed and its economy is performing below expectations, which in turn will dampen activity in countries with which it has close economic ties; its slowdown and emerging market weakness will reduce demand for commodities. Other possible currency interventions following China's recent devaluation will keep sterling strong against many global currencies and depress imported inflation.</w:t>
      </w:r>
    </w:p>
    <w:p w:rsidR="00072E24" w:rsidRPr="00F01551" w:rsidRDefault="00072E24" w:rsidP="00383F1D">
      <w:pPr>
        <w:pStyle w:val="ListParagraph"/>
        <w:rPr>
          <w:bCs/>
        </w:rPr>
      </w:pPr>
    </w:p>
    <w:p w:rsidR="00160679" w:rsidRPr="00160679" w:rsidRDefault="00F01551" w:rsidP="002D51D5">
      <w:pPr>
        <w:pStyle w:val="ListParagraph"/>
        <w:numPr>
          <w:ilvl w:val="0"/>
          <w:numId w:val="39"/>
        </w:numPr>
        <w:rPr>
          <w:bCs/>
        </w:rPr>
      </w:pPr>
      <w:r w:rsidRPr="00160679">
        <w:rPr>
          <w:bCs/>
        </w:rPr>
        <w:t>Strong US labour market data and other economic indicators suggest recent global turbulence has not knocked the American recovery off course.</w:t>
      </w:r>
      <w:r w:rsidR="00160679" w:rsidRPr="00160679">
        <w:rPr>
          <w:bCs/>
        </w:rPr>
        <w:t xml:space="preserve"> The </w:t>
      </w:r>
      <w:r w:rsidR="00750FB1" w:rsidRPr="00160679">
        <w:rPr>
          <w:bCs/>
        </w:rPr>
        <w:t>Dec</w:t>
      </w:r>
      <w:r w:rsidR="00160679" w:rsidRPr="00160679">
        <w:rPr>
          <w:bCs/>
        </w:rPr>
        <w:t>ember rate rise was accompanied by a</w:t>
      </w:r>
      <w:r w:rsidR="00750FB1" w:rsidRPr="00160679">
        <w:rPr>
          <w:bCs/>
        </w:rPr>
        <w:t xml:space="preserve"> very dovish statement and </w:t>
      </w:r>
      <w:r w:rsidR="00160679" w:rsidRPr="00160679">
        <w:rPr>
          <w:bCs/>
        </w:rPr>
        <w:t xml:space="preserve">indications of </w:t>
      </w:r>
      <w:r w:rsidR="00750FB1" w:rsidRPr="00160679">
        <w:rPr>
          <w:bCs/>
        </w:rPr>
        <w:t xml:space="preserve">slower than expected upward path </w:t>
      </w:r>
      <w:r w:rsidR="00160679" w:rsidRPr="00160679">
        <w:rPr>
          <w:bCs/>
        </w:rPr>
        <w:t>for future rises.</w:t>
      </w:r>
    </w:p>
    <w:p w:rsidR="00160679" w:rsidRPr="00F01551" w:rsidRDefault="00160679" w:rsidP="00160679">
      <w:pPr>
        <w:pStyle w:val="ListParagraph"/>
        <w:rPr>
          <w:bCs/>
        </w:rPr>
      </w:pPr>
    </w:p>
    <w:p w:rsidR="00691065" w:rsidRPr="0079043D" w:rsidRDefault="00F01551" w:rsidP="00160679">
      <w:pPr>
        <w:pStyle w:val="ListParagraph"/>
        <w:numPr>
          <w:ilvl w:val="0"/>
          <w:numId w:val="39"/>
        </w:numPr>
        <w:ind w:left="709" w:hanging="283"/>
        <w:jc w:val="both"/>
        <w:rPr>
          <w:szCs w:val="20"/>
        </w:rPr>
      </w:pPr>
      <w:r w:rsidRPr="001F79A9">
        <w:rPr>
          <w:bCs/>
        </w:rPr>
        <w:t>Longer term rates will be tempered by international uncertainties and weaker global inflation pressure.</w:t>
      </w:r>
    </w:p>
    <w:p w:rsidR="006779BD" w:rsidRDefault="006779BD" w:rsidP="00160679">
      <w:pPr>
        <w:pStyle w:val="ListParagraph"/>
        <w:spacing w:after="120" w:line="276" w:lineRule="auto"/>
        <w:ind w:left="426" w:hanging="283"/>
        <w:jc w:val="both"/>
        <w:rPr>
          <w:szCs w:val="20"/>
        </w:rPr>
      </w:pPr>
    </w:p>
    <w:p w:rsidR="00F93D52" w:rsidRDefault="00AE3B78" w:rsidP="00F861B8">
      <w:pPr>
        <w:spacing w:after="120" w:line="276" w:lineRule="auto"/>
        <w:jc w:val="both"/>
        <w:rPr>
          <w:szCs w:val="20"/>
        </w:rPr>
      </w:pPr>
      <w:r w:rsidRPr="00FC522C">
        <w:rPr>
          <w:szCs w:val="20"/>
        </w:rPr>
        <w:t>These factors will maintain the</w:t>
      </w:r>
      <w:r w:rsidR="006779BD">
        <w:rPr>
          <w:szCs w:val="20"/>
        </w:rPr>
        <w:t xml:space="preserve"> current</w:t>
      </w:r>
      <w:r w:rsidRPr="00FC522C">
        <w:rPr>
          <w:szCs w:val="20"/>
        </w:rPr>
        <w:t xml:space="preserve"> </w:t>
      </w:r>
      <w:r w:rsidR="006779BD">
        <w:rPr>
          <w:szCs w:val="20"/>
        </w:rPr>
        <w:t>direction</w:t>
      </w:r>
      <w:r w:rsidRPr="00FC522C">
        <w:rPr>
          <w:szCs w:val="20"/>
        </w:rPr>
        <w:t xml:space="preserve"> of the MPC in the medium term. </w:t>
      </w:r>
    </w:p>
    <w:p w:rsidR="001F79A9" w:rsidRDefault="001F79A9" w:rsidP="00F861B8">
      <w:pPr>
        <w:jc w:val="both"/>
        <w:rPr>
          <w:bCs/>
          <w:i/>
        </w:rPr>
      </w:pPr>
    </w:p>
    <w:p w:rsidR="00160679" w:rsidRDefault="00160679" w:rsidP="00F861B8">
      <w:pPr>
        <w:jc w:val="both"/>
        <w:rPr>
          <w:bCs/>
          <w:i/>
        </w:rPr>
      </w:pPr>
    </w:p>
    <w:p w:rsidR="00160679" w:rsidRDefault="00160679" w:rsidP="00F861B8">
      <w:pPr>
        <w:jc w:val="both"/>
        <w:rPr>
          <w:bCs/>
          <w:i/>
        </w:rPr>
      </w:pPr>
    </w:p>
    <w:p w:rsidR="00383F1D" w:rsidRDefault="00383F1D" w:rsidP="00F861B8">
      <w:pPr>
        <w:jc w:val="both"/>
        <w:rPr>
          <w:bCs/>
          <w:i/>
        </w:rPr>
      </w:pPr>
    </w:p>
    <w:p w:rsidR="00383F1D" w:rsidRDefault="00383F1D" w:rsidP="00F861B8">
      <w:pPr>
        <w:jc w:val="both"/>
        <w:rPr>
          <w:bCs/>
          <w:i/>
        </w:rPr>
      </w:pPr>
    </w:p>
    <w:p w:rsidR="000A7B0E" w:rsidRDefault="0003446E" w:rsidP="00F861B8">
      <w:pPr>
        <w:jc w:val="both"/>
        <w:rPr>
          <w:bCs/>
          <w:i/>
        </w:rPr>
      </w:pPr>
      <w:r w:rsidRPr="006B5382">
        <w:rPr>
          <w:bCs/>
          <w:i/>
        </w:rPr>
        <w:lastRenderedPageBreak/>
        <w:t>3.</w:t>
      </w:r>
      <w:r w:rsidR="00F4760B" w:rsidRPr="006B5382">
        <w:rPr>
          <w:bCs/>
          <w:i/>
        </w:rPr>
        <w:t>5</w:t>
      </w:r>
      <w:r w:rsidRPr="006B5382">
        <w:rPr>
          <w:bCs/>
          <w:i/>
        </w:rPr>
        <w:t xml:space="preserve"> </w:t>
      </w:r>
      <w:r w:rsidR="008469E7" w:rsidRPr="006B5382">
        <w:rPr>
          <w:bCs/>
          <w:i/>
        </w:rPr>
        <w:t>Impact of these factors on the Borrowing Strategy</w:t>
      </w:r>
    </w:p>
    <w:p w:rsidR="00072E24" w:rsidRPr="006B5382" w:rsidRDefault="00072E24" w:rsidP="00F861B8">
      <w:pPr>
        <w:jc w:val="both"/>
        <w:rPr>
          <w:i/>
        </w:rPr>
      </w:pPr>
    </w:p>
    <w:p w:rsidR="00A91F47" w:rsidRDefault="000A7B0E" w:rsidP="001F79A9">
      <w:pPr>
        <w:pStyle w:val="ListParagraph"/>
        <w:ind w:left="0"/>
        <w:contextualSpacing w:val="0"/>
        <w:jc w:val="both"/>
        <w:rPr>
          <w:lang w:val="en-US"/>
        </w:rPr>
      </w:pPr>
      <w:r w:rsidRPr="00720AD0">
        <w:rPr>
          <w:lang w:val="en-US"/>
        </w:rPr>
        <w:t xml:space="preserve">In view of the above </w:t>
      </w:r>
      <w:r w:rsidR="007B5245">
        <w:rPr>
          <w:lang w:val="en-US"/>
        </w:rPr>
        <w:t xml:space="preserve">assessment of the economic context within </w:t>
      </w:r>
      <w:r w:rsidR="004619F9">
        <w:rPr>
          <w:lang w:val="en-US"/>
        </w:rPr>
        <w:t>w</w:t>
      </w:r>
      <w:r w:rsidR="00F01551">
        <w:rPr>
          <w:lang w:val="en-US"/>
        </w:rPr>
        <w:t>hich the Council is operating</w:t>
      </w:r>
      <w:r w:rsidR="004619F9">
        <w:rPr>
          <w:lang w:val="en-US"/>
        </w:rPr>
        <w:t>, where</w:t>
      </w:r>
      <w:r w:rsidR="00A91F47">
        <w:rPr>
          <w:lang w:val="en-US"/>
        </w:rPr>
        <w:t>in</w:t>
      </w:r>
      <w:r w:rsidR="00974969">
        <w:rPr>
          <w:lang w:val="en-US"/>
        </w:rPr>
        <w:t xml:space="preserve"> d</w:t>
      </w:r>
      <w:r w:rsidR="00720AD0" w:rsidRPr="00720AD0">
        <w:rPr>
          <w:lang w:val="en-US"/>
        </w:rPr>
        <w:t xml:space="preserve">espite the </w:t>
      </w:r>
      <w:r w:rsidR="001F79A9">
        <w:rPr>
          <w:lang w:val="en-US"/>
        </w:rPr>
        <w:t xml:space="preserve">continuing improvement in the </w:t>
      </w:r>
      <w:r w:rsidR="00720AD0" w:rsidRPr="00720AD0">
        <w:rPr>
          <w:lang w:val="en-US"/>
        </w:rPr>
        <w:t xml:space="preserve">economic outlook, </w:t>
      </w:r>
      <w:r w:rsidR="00FB0846">
        <w:rPr>
          <w:lang w:val="en-US"/>
        </w:rPr>
        <w:t>i</w:t>
      </w:r>
      <w:r w:rsidRPr="00720AD0">
        <w:rPr>
          <w:lang w:val="en-US"/>
        </w:rPr>
        <w:t>t could be 201</w:t>
      </w:r>
      <w:r w:rsidR="00A91F47">
        <w:rPr>
          <w:lang w:val="en-US"/>
        </w:rPr>
        <w:t>7</w:t>
      </w:r>
      <w:r w:rsidRPr="00720AD0">
        <w:rPr>
          <w:lang w:val="en-US"/>
        </w:rPr>
        <w:t xml:space="preserve"> before</w:t>
      </w:r>
      <w:r w:rsidR="00720AD0" w:rsidRPr="00720AD0">
        <w:rPr>
          <w:lang w:val="en-US"/>
        </w:rPr>
        <w:t xml:space="preserve"> there is a rise in </w:t>
      </w:r>
      <w:r w:rsidRPr="00720AD0">
        <w:rPr>
          <w:lang w:val="en-US"/>
        </w:rPr>
        <w:t>official UK interest rates</w:t>
      </w:r>
      <w:r w:rsidR="00A91F47">
        <w:rPr>
          <w:lang w:val="en-US"/>
        </w:rPr>
        <w:t>,</w:t>
      </w:r>
      <w:r w:rsidR="00720AD0" w:rsidRPr="00720AD0">
        <w:rPr>
          <w:lang w:val="en-US"/>
        </w:rPr>
        <w:t xml:space="preserve"> and t</w:t>
      </w:r>
      <w:r w:rsidRPr="00720AD0">
        <w:rPr>
          <w:lang w:val="en-US"/>
        </w:rPr>
        <w:t>he UK</w:t>
      </w:r>
      <w:r w:rsidR="008469E7" w:rsidRPr="00720AD0">
        <w:rPr>
          <w:lang w:val="en-US"/>
        </w:rPr>
        <w:t>'</w:t>
      </w:r>
      <w:r w:rsidRPr="00720AD0">
        <w:rPr>
          <w:lang w:val="en-US"/>
        </w:rPr>
        <w:t xml:space="preserve">s safe haven status and minimal prospect of rate rises are expected to keep gilt yields </w:t>
      </w:r>
      <w:r w:rsidR="00720AD0" w:rsidRPr="00720AD0">
        <w:rPr>
          <w:lang w:val="en-US"/>
        </w:rPr>
        <w:t xml:space="preserve">in check through </w:t>
      </w:r>
      <w:r w:rsidR="00A91F47">
        <w:rPr>
          <w:lang w:val="en-US"/>
        </w:rPr>
        <w:t xml:space="preserve">the near term, there is likely to be no significant change in the County Council's </w:t>
      </w:r>
      <w:r w:rsidR="004F49D6">
        <w:rPr>
          <w:lang w:val="en-US"/>
        </w:rPr>
        <w:t xml:space="preserve">overall </w:t>
      </w:r>
      <w:r w:rsidR="00A91F47">
        <w:rPr>
          <w:lang w:val="en-US"/>
        </w:rPr>
        <w:t>borrowi</w:t>
      </w:r>
      <w:r w:rsidR="00677B17">
        <w:rPr>
          <w:lang w:val="en-US"/>
        </w:rPr>
        <w:t>ng strategy in the current year.</w:t>
      </w:r>
    </w:p>
    <w:p w:rsidR="00072E24" w:rsidRPr="00720AD0" w:rsidRDefault="00072E24" w:rsidP="00F61C39">
      <w:pPr>
        <w:pStyle w:val="ListParagraph"/>
        <w:ind w:left="0"/>
        <w:contextualSpacing w:val="0"/>
        <w:jc w:val="both"/>
      </w:pPr>
    </w:p>
    <w:p w:rsidR="00894308" w:rsidRDefault="00894308" w:rsidP="00894308">
      <w:pPr>
        <w:pStyle w:val="ListParagraph"/>
        <w:ind w:left="0"/>
        <w:contextualSpacing w:val="0"/>
        <w:jc w:val="both"/>
      </w:pPr>
      <w:r w:rsidRPr="00720AD0">
        <w:t xml:space="preserve">The </w:t>
      </w:r>
      <w:r w:rsidR="00A91F47">
        <w:t>C</w:t>
      </w:r>
      <w:r w:rsidRPr="00720AD0">
        <w:t>ouncil’s chief objective when borrowing money is to strike an appropriate balance between securing low interest costs and achieving cost certainty over the period for which funds are required.</w:t>
      </w:r>
      <w:r w:rsidR="003F55F5">
        <w:t xml:space="preserve"> T</w:t>
      </w:r>
      <w:r w:rsidRPr="00720AD0">
        <w:t xml:space="preserve">he flexibility to renegotiate loans should the </w:t>
      </w:r>
      <w:r w:rsidR="00FB0846">
        <w:t>Council</w:t>
      </w:r>
      <w:r w:rsidR="00FB0846" w:rsidRPr="00720AD0">
        <w:t xml:space="preserve">’s </w:t>
      </w:r>
      <w:r w:rsidRPr="00720AD0">
        <w:t>long-term plans change is a secondary objective.</w:t>
      </w:r>
    </w:p>
    <w:p w:rsidR="00894308" w:rsidRPr="00720AD0" w:rsidRDefault="00894308" w:rsidP="00894308">
      <w:pPr>
        <w:pStyle w:val="ListParagraph"/>
        <w:ind w:left="0"/>
        <w:contextualSpacing w:val="0"/>
        <w:jc w:val="both"/>
      </w:pPr>
    </w:p>
    <w:p w:rsidR="003016CD" w:rsidRDefault="00894308" w:rsidP="00A36118">
      <w:pPr>
        <w:jc w:val="both"/>
      </w:pPr>
      <w:r w:rsidRPr="00720AD0">
        <w:t>Given the significant cuts to public expenditure and in particular to local government funding, the</w:t>
      </w:r>
      <w:r w:rsidR="00A91F47">
        <w:t xml:space="preserve"> C</w:t>
      </w:r>
      <w:r w:rsidR="00A91F47" w:rsidRPr="00720AD0">
        <w:t>ouncil’s</w:t>
      </w:r>
      <w:r w:rsidR="00A91F47">
        <w:t xml:space="preserve"> </w:t>
      </w:r>
      <w:r w:rsidRPr="00720AD0">
        <w:t xml:space="preserve">borrowing strategy continues to address the key issue of affordability without compromising the longer-term stability of the debt portfolio. With short-term interest rates currently much lower than long-term rates, it is likely to be more cost effective in the short-term to </w:t>
      </w:r>
      <w:r w:rsidR="00A91F47">
        <w:t xml:space="preserve">continue </w:t>
      </w:r>
      <w:r w:rsidRPr="00720AD0">
        <w:t>to borrow short-term</w:t>
      </w:r>
      <w:r w:rsidR="00A91F47">
        <w:t xml:space="preserve"> whilst taking advantage of the new Municipal Bond Agency facility for some longer term borrowing.</w:t>
      </w:r>
      <w:r w:rsidRPr="00720AD0">
        <w:t xml:space="preserve"> By doing so, the </w:t>
      </w:r>
      <w:r w:rsidR="00081329">
        <w:t>C</w:t>
      </w:r>
      <w:r w:rsidRPr="00720AD0">
        <w:t xml:space="preserve">ouncil is able to </w:t>
      </w:r>
      <w:r w:rsidR="004F49D6">
        <w:t>keep</w:t>
      </w:r>
      <w:r w:rsidRPr="00720AD0">
        <w:t xml:space="preserve"> net borrowing costs</w:t>
      </w:r>
      <w:r w:rsidR="004F49D6">
        <w:t xml:space="preserve"> at very low levels</w:t>
      </w:r>
      <w:r w:rsidR="00A91F47">
        <w:t xml:space="preserve">, reduce overall treasury risk </w:t>
      </w:r>
      <w:r w:rsidR="004F49D6">
        <w:t xml:space="preserve">and </w:t>
      </w:r>
      <w:r w:rsidR="00A91F47">
        <w:t>still</w:t>
      </w:r>
      <w:r w:rsidR="004F49D6">
        <w:t xml:space="preserve"> </w:t>
      </w:r>
      <w:r w:rsidR="00A91F47">
        <w:t>respond to the transformation agenda in reducing the overall size of the balance sheet.</w:t>
      </w:r>
    </w:p>
    <w:p w:rsidR="003016CD" w:rsidRDefault="003016CD" w:rsidP="00A36118">
      <w:pPr>
        <w:jc w:val="both"/>
      </w:pPr>
    </w:p>
    <w:p w:rsidR="00677B17" w:rsidRDefault="00AA4E42" w:rsidP="00AA4E42">
      <w:pPr>
        <w:jc w:val="both"/>
      </w:pPr>
      <w:r w:rsidRPr="00F861B8">
        <w:t>The benefits of</w:t>
      </w:r>
      <w:r w:rsidR="00677B17">
        <w:t xml:space="preserve"> short term and </w:t>
      </w:r>
      <w:r w:rsidRPr="00F861B8">
        <w:t>internal borrowing are monitored regularly against the potential for incurring additional costs by deferring borrowing into future years when long-term borrowing rates are forecast to ris</w:t>
      </w:r>
      <w:r w:rsidR="00F4760B">
        <w:t xml:space="preserve">e. </w:t>
      </w:r>
      <w:proofErr w:type="spellStart"/>
      <w:r w:rsidR="00F4760B">
        <w:t>Arlingclose</w:t>
      </w:r>
      <w:proofErr w:type="spellEnd"/>
      <w:r w:rsidR="00081329">
        <w:t xml:space="preserve"> will assist the C</w:t>
      </w:r>
      <w:r w:rsidRPr="00F861B8">
        <w:t>ouncil with this ‘cost of carry’ and breakeven analysis. Its output ma</w:t>
      </w:r>
      <w:r w:rsidR="00F4760B">
        <w:t xml:space="preserve">y determine whether the </w:t>
      </w:r>
      <w:r w:rsidR="00081329">
        <w:t>C</w:t>
      </w:r>
      <w:r w:rsidRPr="00F861B8">
        <w:t>ouncil borrows additional sums at long-term fixed rates in 201</w:t>
      </w:r>
      <w:r w:rsidR="00677B17">
        <w:t>6</w:t>
      </w:r>
      <w:r w:rsidRPr="00F861B8">
        <w:t>/1</w:t>
      </w:r>
      <w:r w:rsidR="00677B17">
        <w:t>7</w:t>
      </w:r>
      <w:r w:rsidRPr="00F861B8">
        <w:t xml:space="preserve"> with a view to keeping future interest costs low, even if this causes additional cost in the short-term.</w:t>
      </w:r>
    </w:p>
    <w:p w:rsidR="00677B17" w:rsidRDefault="00AA4E42" w:rsidP="00AA4E42">
      <w:pPr>
        <w:jc w:val="both"/>
      </w:pPr>
      <w:r w:rsidRPr="00F861B8">
        <w:t xml:space="preserve"> </w:t>
      </w:r>
    </w:p>
    <w:p w:rsidR="00AA4E42" w:rsidRDefault="00677B17" w:rsidP="00AA4E42">
      <w:pPr>
        <w:jc w:val="both"/>
      </w:pPr>
      <w:r>
        <w:t>Also, i</w:t>
      </w:r>
      <w:r w:rsidRPr="00720AD0">
        <w:t xml:space="preserve">f it became apparent that there was a significant risk of a much sharper rise in long and short term rates than that currently forecast, perhaps arising from a greater than expected increase in world economic activity or a sudden increase in inflation risks, then the portfolio position will be re-appraised with the </w:t>
      </w:r>
      <w:r>
        <w:t>possible</w:t>
      </w:r>
      <w:r w:rsidRPr="00720AD0">
        <w:t xml:space="preserve"> action that </w:t>
      </w:r>
      <w:r>
        <w:t xml:space="preserve">significant </w:t>
      </w:r>
      <w:r w:rsidRPr="00720AD0">
        <w:t>fixed rate funding will be drawn whilst interest rates were still relatively cheap</w:t>
      </w:r>
      <w:r>
        <w:t>.</w:t>
      </w:r>
    </w:p>
    <w:p w:rsidR="00AA4E42" w:rsidRDefault="00AA4E42" w:rsidP="00A36118">
      <w:pPr>
        <w:jc w:val="both"/>
      </w:pPr>
    </w:p>
    <w:p w:rsidR="003016CD" w:rsidRDefault="00A36118" w:rsidP="00A36118">
      <w:pPr>
        <w:jc w:val="both"/>
      </w:pPr>
      <w:r>
        <w:t>Whilst it is expected that the current low rate environment will continue for a further</w:t>
      </w:r>
      <w:r w:rsidR="00F4760B">
        <w:t xml:space="preserve"> period, the </w:t>
      </w:r>
      <w:r w:rsidR="008C25F1">
        <w:t xml:space="preserve">Council have taken steps </w:t>
      </w:r>
      <w:r>
        <w:t xml:space="preserve">to </w:t>
      </w:r>
      <w:r w:rsidR="00F4760B">
        <w:t xml:space="preserve">ensure that the </w:t>
      </w:r>
      <w:r w:rsidR="008C25F1">
        <w:t>C</w:t>
      </w:r>
      <w:r>
        <w:t xml:space="preserve">ouncil is protected from the impact of rate rises when they </w:t>
      </w:r>
      <w:r w:rsidR="008C25F1">
        <w:t xml:space="preserve">do </w:t>
      </w:r>
      <w:r>
        <w:t>occur</w:t>
      </w:r>
      <w:r w:rsidR="008C25F1">
        <w:t>. I</w:t>
      </w:r>
      <w:r w:rsidR="00AC0C89">
        <w:t xml:space="preserve">n support of this strategy full council have approved </w:t>
      </w:r>
      <w:r w:rsidR="003A1E20">
        <w:t xml:space="preserve">in principle the </w:t>
      </w:r>
      <w:r w:rsidR="00AC0C89">
        <w:t>following</w:t>
      </w:r>
      <w:r w:rsidR="003A1E20">
        <w:t xml:space="preserve"> </w:t>
      </w:r>
      <w:r w:rsidR="008C25F1">
        <w:t>actions:</w:t>
      </w:r>
      <w:r>
        <w:t xml:space="preserve"> </w:t>
      </w:r>
    </w:p>
    <w:p w:rsidR="003016CD" w:rsidRDefault="003016CD" w:rsidP="00A36118">
      <w:pPr>
        <w:jc w:val="both"/>
      </w:pPr>
    </w:p>
    <w:p w:rsidR="00BB3A20" w:rsidRDefault="00A36118" w:rsidP="008C25F1">
      <w:pPr>
        <w:pStyle w:val="ListParagraph"/>
        <w:numPr>
          <w:ilvl w:val="0"/>
          <w:numId w:val="22"/>
        </w:numPr>
        <w:jc w:val="both"/>
      </w:pPr>
      <w:proofErr w:type="gramStart"/>
      <w:r w:rsidRPr="008C25F1">
        <w:t>the</w:t>
      </w:r>
      <w:proofErr w:type="gramEnd"/>
      <w:r w:rsidRPr="008C25F1">
        <w:t xml:space="preserve"> establishment of a Lancashire </w:t>
      </w:r>
      <w:r w:rsidR="00F25AD0" w:rsidRPr="008C25F1">
        <w:t>County</w:t>
      </w:r>
      <w:r w:rsidR="00F4760B" w:rsidRPr="008C25F1">
        <w:t xml:space="preserve"> C</w:t>
      </w:r>
      <w:r w:rsidR="00F25AD0" w:rsidRPr="008C25F1">
        <w:t>ouncil</w:t>
      </w:r>
      <w:r w:rsidRPr="008C25F1">
        <w:t xml:space="preserve"> Euro Medium Term Note (EMTN) programme to facilitate access to secure long term debt in rea</w:t>
      </w:r>
      <w:r w:rsidR="008C25F1" w:rsidRPr="008C25F1">
        <w:t>diness for interest rate rises</w:t>
      </w:r>
      <w:r w:rsidR="00362860">
        <w:t>.</w:t>
      </w:r>
    </w:p>
    <w:p w:rsidR="008C25F1" w:rsidRPr="008C25F1" w:rsidRDefault="008C25F1" w:rsidP="008C25F1">
      <w:pPr>
        <w:pStyle w:val="ListParagraph"/>
        <w:jc w:val="both"/>
      </w:pPr>
    </w:p>
    <w:p w:rsidR="003016CD" w:rsidRPr="00BF0506" w:rsidRDefault="0090224E" w:rsidP="00BF0506">
      <w:pPr>
        <w:pStyle w:val="ListParagraph"/>
        <w:numPr>
          <w:ilvl w:val="0"/>
          <w:numId w:val="22"/>
        </w:numPr>
        <w:jc w:val="both"/>
      </w:pPr>
      <w:r w:rsidRPr="00BF0506">
        <w:t xml:space="preserve">Preparations for borrowing through the Municipal Bond Agency </w:t>
      </w:r>
      <w:r w:rsidR="003016CD" w:rsidRPr="00BF0506">
        <w:t>to enable access to an alternative economic funding source</w:t>
      </w:r>
      <w:r w:rsidRPr="00BF0506">
        <w:t>.</w:t>
      </w:r>
      <w:r w:rsidR="003016CD" w:rsidRPr="00BF0506">
        <w:t xml:space="preserve"> </w:t>
      </w:r>
    </w:p>
    <w:p w:rsidR="00072E24" w:rsidRDefault="00072E24" w:rsidP="00BF0506">
      <w:pPr>
        <w:pStyle w:val="ListParagraph"/>
        <w:jc w:val="both"/>
      </w:pPr>
    </w:p>
    <w:p w:rsidR="00720AD0" w:rsidRPr="00362860" w:rsidRDefault="00BB3A20" w:rsidP="00362860">
      <w:pPr>
        <w:pStyle w:val="ListParagraph"/>
        <w:numPr>
          <w:ilvl w:val="0"/>
          <w:numId w:val="22"/>
        </w:numPr>
        <w:contextualSpacing w:val="0"/>
        <w:jc w:val="both"/>
      </w:pPr>
      <w:r w:rsidRPr="00362860">
        <w:lastRenderedPageBreak/>
        <w:t>T</w:t>
      </w:r>
      <w:r w:rsidR="003016CD" w:rsidRPr="00362860">
        <w:t xml:space="preserve">he necessary changes to the </w:t>
      </w:r>
      <w:r w:rsidR="00FB0846" w:rsidRPr="00362860">
        <w:t>C</w:t>
      </w:r>
      <w:r w:rsidR="00F25AD0" w:rsidRPr="00362860">
        <w:t>ouncil</w:t>
      </w:r>
      <w:r w:rsidR="003016CD" w:rsidRPr="00362860">
        <w:t xml:space="preserve">'s Prudential Indicators </w:t>
      </w:r>
      <w:r w:rsidR="00FB0846" w:rsidRPr="00362860">
        <w:t>to</w:t>
      </w:r>
      <w:r w:rsidR="003016CD" w:rsidRPr="00362860">
        <w:t xml:space="preserve"> facilitate the switch from a programme of rolling short term debt to longer term debt financing</w:t>
      </w:r>
      <w:r w:rsidR="0090224E" w:rsidRPr="00362860">
        <w:t>.</w:t>
      </w:r>
    </w:p>
    <w:p w:rsidR="008C25F1" w:rsidRDefault="008C25F1" w:rsidP="00894308">
      <w:pPr>
        <w:pStyle w:val="ListParagraph"/>
        <w:ind w:left="0"/>
        <w:contextualSpacing w:val="0"/>
        <w:jc w:val="both"/>
        <w:rPr>
          <w:highlight w:val="yellow"/>
        </w:rPr>
      </w:pPr>
    </w:p>
    <w:p w:rsidR="008C25F1" w:rsidRPr="001143BB" w:rsidRDefault="008C25F1" w:rsidP="00894308">
      <w:pPr>
        <w:pStyle w:val="ListParagraph"/>
        <w:ind w:left="0"/>
        <w:contextualSpacing w:val="0"/>
        <w:jc w:val="both"/>
        <w:rPr>
          <w:highlight w:val="yellow"/>
        </w:rPr>
      </w:pPr>
    </w:p>
    <w:p w:rsidR="00AD0E87" w:rsidRPr="006B5382" w:rsidRDefault="0003446E" w:rsidP="00F861B8">
      <w:pPr>
        <w:jc w:val="both"/>
        <w:rPr>
          <w:bCs/>
          <w:i/>
        </w:rPr>
      </w:pPr>
      <w:r w:rsidRPr="006B5382">
        <w:rPr>
          <w:bCs/>
          <w:i/>
        </w:rPr>
        <w:t>3.</w:t>
      </w:r>
      <w:r w:rsidR="00F4760B" w:rsidRPr="006B5382">
        <w:rPr>
          <w:bCs/>
          <w:i/>
        </w:rPr>
        <w:t>6</w:t>
      </w:r>
      <w:r w:rsidR="004619F9" w:rsidRPr="006B5382">
        <w:rPr>
          <w:bCs/>
          <w:i/>
        </w:rPr>
        <w:t xml:space="preserve"> </w:t>
      </w:r>
      <w:r w:rsidR="00AD0E87" w:rsidRPr="006B5382">
        <w:rPr>
          <w:bCs/>
          <w:i/>
        </w:rPr>
        <w:t>Impact of these factors on the Investment Strategy</w:t>
      </w:r>
    </w:p>
    <w:p w:rsidR="004619F9" w:rsidRPr="00F861B8" w:rsidRDefault="004619F9" w:rsidP="00F861B8">
      <w:pPr>
        <w:pStyle w:val="ListParagraph"/>
        <w:rPr>
          <w:b/>
          <w:bCs/>
          <w:sz w:val="28"/>
          <w:szCs w:val="28"/>
        </w:rPr>
      </w:pPr>
    </w:p>
    <w:p w:rsidR="009A2617" w:rsidRDefault="0003446E" w:rsidP="00383F1D">
      <w:pPr>
        <w:rPr>
          <w:b/>
          <w:bCs/>
        </w:rPr>
      </w:pPr>
      <w:r w:rsidRPr="00720AD0">
        <w:rPr>
          <w:lang w:val="en-US"/>
        </w:rPr>
        <w:t xml:space="preserve">In view of the above </w:t>
      </w:r>
      <w:r>
        <w:rPr>
          <w:lang w:val="en-US"/>
        </w:rPr>
        <w:t xml:space="preserve">assessment of the economic context within which the Council is operating </w:t>
      </w:r>
      <w:r w:rsidR="00AD0E87" w:rsidRPr="00720AD0">
        <w:rPr>
          <w:lang w:val="en-US"/>
        </w:rPr>
        <w:t xml:space="preserve">the </w:t>
      </w:r>
      <w:r w:rsidR="004F49D6">
        <w:rPr>
          <w:lang w:val="en-US"/>
        </w:rPr>
        <w:t>C</w:t>
      </w:r>
      <w:r w:rsidR="00F25AD0">
        <w:rPr>
          <w:lang w:val="en-US"/>
        </w:rPr>
        <w:t xml:space="preserve">ounty </w:t>
      </w:r>
      <w:r w:rsidR="004F49D6">
        <w:rPr>
          <w:lang w:val="en-US"/>
        </w:rPr>
        <w:t>C</w:t>
      </w:r>
      <w:r w:rsidR="00F25AD0">
        <w:rPr>
          <w:lang w:val="en-US"/>
        </w:rPr>
        <w:t>ouncil</w:t>
      </w:r>
      <w:r w:rsidR="00AD0E87" w:rsidRPr="00720AD0">
        <w:rPr>
          <w:lang w:val="en-US"/>
        </w:rPr>
        <w:t>'s investment strategy will be based upon the following information</w:t>
      </w:r>
      <w:r w:rsidR="002D3D61" w:rsidRPr="00720AD0">
        <w:rPr>
          <w:lang w:val="en-US"/>
        </w:rPr>
        <w:t>:</w:t>
      </w:r>
      <w:r w:rsidR="00AD0E87" w:rsidRPr="00720AD0">
        <w:rPr>
          <w:b/>
          <w:bCs/>
        </w:rPr>
        <w:t xml:space="preserve"> </w:t>
      </w:r>
    </w:p>
    <w:p w:rsidR="00AD0E87" w:rsidRPr="00081329" w:rsidRDefault="009A2617" w:rsidP="00600FBE">
      <w:pPr>
        <w:pStyle w:val="ListParagraph"/>
        <w:numPr>
          <w:ilvl w:val="0"/>
          <w:numId w:val="40"/>
        </w:numPr>
        <w:contextualSpacing w:val="0"/>
        <w:jc w:val="both"/>
        <w:rPr>
          <w:b/>
          <w:bCs/>
        </w:rPr>
      </w:pPr>
      <w:r>
        <w:t xml:space="preserve">The </w:t>
      </w:r>
      <w:r w:rsidRPr="009A2617">
        <w:t>Bail-in legislation</w:t>
      </w:r>
      <w:r>
        <w:t xml:space="preserve"> described above</w:t>
      </w:r>
      <w:r w:rsidRPr="009A2617">
        <w:t>, which ensures that</w:t>
      </w:r>
      <w:r>
        <w:t xml:space="preserve"> in future</w:t>
      </w:r>
      <w:r w:rsidRPr="009A2617">
        <w:t xml:space="preserve"> large investors including local authorities will rescue failing banks instead of taxpayers</w:t>
      </w:r>
      <w:r w:rsidR="008C25F1">
        <w:t xml:space="preserve">. In particular the additional legal </w:t>
      </w:r>
      <w:r>
        <w:t>protections affor</w:t>
      </w:r>
      <w:r w:rsidR="008C25F1">
        <w:t>ded to private sector investors</w:t>
      </w:r>
      <w:r>
        <w:t xml:space="preserve"> means that t</w:t>
      </w:r>
      <w:r w:rsidRPr="009A2617">
        <w:t xml:space="preserve">he credit risk associated with making unsecured bank deposits has increased </w:t>
      </w:r>
      <w:r w:rsidR="0079043D">
        <w:t xml:space="preserve">dramatically </w:t>
      </w:r>
      <w:r w:rsidRPr="009A2617">
        <w:t>relative to the risk of other investment opti</w:t>
      </w:r>
      <w:r>
        <w:t>ons availab</w:t>
      </w:r>
      <w:r w:rsidR="008C25F1">
        <w:t xml:space="preserve">le to the </w:t>
      </w:r>
      <w:r w:rsidR="00081329">
        <w:t>Council,</w:t>
      </w:r>
      <w:r w:rsidR="008C25F1">
        <w:t xml:space="preserve"> whilst</w:t>
      </w:r>
      <w:r>
        <w:t xml:space="preserve"> </w:t>
      </w:r>
      <w:r w:rsidRPr="009A2617">
        <w:t>returns from cash deposits remain stubbornly low.</w:t>
      </w:r>
    </w:p>
    <w:p w:rsidR="00C2176F" w:rsidRPr="00D86663" w:rsidRDefault="000662B7" w:rsidP="00383F1D">
      <w:pPr>
        <w:pStyle w:val="ListParagraph"/>
        <w:numPr>
          <w:ilvl w:val="0"/>
          <w:numId w:val="9"/>
        </w:numPr>
        <w:jc w:val="both"/>
        <w:rPr>
          <w:b/>
          <w:bCs/>
        </w:rPr>
      </w:pPr>
      <w:r w:rsidRPr="004619F9">
        <w:rPr>
          <w:bCs/>
        </w:rPr>
        <w:t xml:space="preserve">Given the level of risk involved in dealing with bank counterparties the </w:t>
      </w:r>
      <w:r w:rsidR="009A2617">
        <w:rPr>
          <w:bCs/>
        </w:rPr>
        <w:t>C</w:t>
      </w:r>
      <w:r w:rsidR="00F25AD0" w:rsidRPr="004619F9">
        <w:rPr>
          <w:bCs/>
        </w:rPr>
        <w:t xml:space="preserve">ounty </w:t>
      </w:r>
      <w:r w:rsidR="009A2617">
        <w:rPr>
          <w:bCs/>
        </w:rPr>
        <w:t>C</w:t>
      </w:r>
      <w:r w:rsidR="00F25AD0" w:rsidRPr="004619F9">
        <w:rPr>
          <w:bCs/>
        </w:rPr>
        <w:t>ouncil</w:t>
      </w:r>
      <w:r w:rsidRPr="004619F9">
        <w:rPr>
          <w:bCs/>
        </w:rPr>
        <w:t xml:space="preserve"> will </w:t>
      </w:r>
      <w:r w:rsidR="00FC21C4" w:rsidRPr="004619F9">
        <w:rPr>
          <w:bCs/>
        </w:rPr>
        <w:t xml:space="preserve">continue </w:t>
      </w:r>
      <w:r w:rsidRPr="004619F9">
        <w:rPr>
          <w:bCs/>
        </w:rPr>
        <w:t xml:space="preserve">to diversify its portfolio further away from </w:t>
      </w:r>
      <w:r w:rsidR="008C25F1">
        <w:rPr>
          <w:bCs/>
        </w:rPr>
        <w:t>bank credit</w:t>
      </w:r>
      <w:r w:rsidRPr="004619F9">
        <w:rPr>
          <w:bCs/>
        </w:rPr>
        <w:t xml:space="preserve"> while maintaining the highest credit quality of counterparties.</w:t>
      </w:r>
      <w:r w:rsidR="008C5104" w:rsidRPr="004619F9">
        <w:rPr>
          <w:bCs/>
        </w:rPr>
        <w:t xml:space="preserve"> </w:t>
      </w:r>
      <w:r w:rsidR="009A2617">
        <w:rPr>
          <w:bCs/>
        </w:rPr>
        <w:t>U</w:t>
      </w:r>
      <w:r w:rsidR="008C5104" w:rsidRPr="00F861B8">
        <w:rPr>
          <w:bCs/>
        </w:rPr>
        <w:t xml:space="preserve">nsecured term deposits </w:t>
      </w:r>
      <w:r w:rsidR="0079043D">
        <w:rPr>
          <w:bCs/>
        </w:rPr>
        <w:t xml:space="preserve">or certificates of deposit </w:t>
      </w:r>
      <w:r w:rsidR="008C5104" w:rsidRPr="00F861B8">
        <w:rPr>
          <w:bCs/>
        </w:rPr>
        <w:t>with banks a</w:t>
      </w:r>
      <w:r w:rsidR="00D354EC">
        <w:rPr>
          <w:bCs/>
        </w:rPr>
        <w:t xml:space="preserve">re no longer </w:t>
      </w:r>
      <w:r w:rsidR="008C5104" w:rsidRPr="00F861B8">
        <w:rPr>
          <w:bCs/>
        </w:rPr>
        <w:t>an appropriate</w:t>
      </w:r>
      <w:r w:rsidR="00722518" w:rsidRPr="00F861B8">
        <w:rPr>
          <w:bCs/>
        </w:rPr>
        <w:t xml:space="preserve"> investment </w:t>
      </w:r>
      <w:r w:rsidR="00D354EC">
        <w:rPr>
          <w:bCs/>
        </w:rPr>
        <w:t>instrument</w:t>
      </w:r>
      <w:r w:rsidR="00722518" w:rsidRPr="00F861B8">
        <w:rPr>
          <w:bCs/>
        </w:rPr>
        <w:t xml:space="preserve"> for the </w:t>
      </w:r>
      <w:r w:rsidR="00D354EC">
        <w:rPr>
          <w:bCs/>
        </w:rPr>
        <w:t>C</w:t>
      </w:r>
      <w:r w:rsidR="00F25AD0" w:rsidRPr="00F861B8">
        <w:rPr>
          <w:bCs/>
        </w:rPr>
        <w:t xml:space="preserve">ounty </w:t>
      </w:r>
      <w:r w:rsidR="00D354EC">
        <w:rPr>
          <w:bCs/>
        </w:rPr>
        <w:t>C</w:t>
      </w:r>
      <w:r w:rsidR="00F25AD0" w:rsidRPr="00F861B8">
        <w:rPr>
          <w:bCs/>
        </w:rPr>
        <w:t>ouncil</w:t>
      </w:r>
      <w:r w:rsidR="00722518" w:rsidRPr="00F861B8">
        <w:rPr>
          <w:bCs/>
        </w:rPr>
        <w:t>.</w:t>
      </w:r>
    </w:p>
    <w:p w:rsidR="00F73EE4" w:rsidRPr="00D354EC" w:rsidRDefault="00F73EE4" w:rsidP="00D635B5">
      <w:pPr>
        <w:pStyle w:val="ListParagraph"/>
        <w:numPr>
          <w:ilvl w:val="0"/>
          <w:numId w:val="9"/>
        </w:numPr>
        <w:spacing w:after="200" w:line="276" w:lineRule="auto"/>
        <w:jc w:val="both"/>
        <w:rPr>
          <w:b/>
          <w:bCs/>
        </w:rPr>
      </w:pPr>
      <w:r>
        <w:rPr>
          <w:bCs/>
        </w:rPr>
        <w:t>The Investment Strategy will also react to the planned use of reserves as outlined in the County Council's revenue budget.</w:t>
      </w:r>
    </w:p>
    <w:p w:rsidR="00D354EC" w:rsidRDefault="00D354EC" w:rsidP="00D354EC">
      <w:pPr>
        <w:pStyle w:val="ListParagraph"/>
        <w:spacing w:after="200" w:line="276" w:lineRule="auto"/>
        <w:jc w:val="both"/>
        <w:rPr>
          <w:b/>
          <w:bCs/>
        </w:rPr>
      </w:pPr>
    </w:p>
    <w:p w:rsidR="00072E24" w:rsidRPr="004619F9" w:rsidRDefault="00072E24" w:rsidP="00D354EC">
      <w:pPr>
        <w:pStyle w:val="ListParagraph"/>
        <w:spacing w:after="200" w:line="276" w:lineRule="auto"/>
        <w:jc w:val="both"/>
        <w:rPr>
          <w:b/>
          <w:bCs/>
        </w:rPr>
      </w:pPr>
    </w:p>
    <w:p w:rsidR="004A19C1" w:rsidRPr="00F861B8" w:rsidRDefault="004A19C1" w:rsidP="00F861B8">
      <w:pPr>
        <w:pStyle w:val="ListParagraph"/>
        <w:numPr>
          <w:ilvl w:val="0"/>
          <w:numId w:val="36"/>
        </w:numPr>
        <w:rPr>
          <w:b/>
        </w:rPr>
      </w:pPr>
      <w:r w:rsidRPr="00F861B8">
        <w:rPr>
          <w:b/>
        </w:rPr>
        <w:t>Borrowing Strategy</w:t>
      </w:r>
    </w:p>
    <w:p w:rsidR="0003446E" w:rsidRPr="00860EAE" w:rsidRDefault="0003446E" w:rsidP="00F861B8">
      <w:pPr>
        <w:pStyle w:val="ListParagraph"/>
      </w:pPr>
    </w:p>
    <w:p w:rsidR="00C13F68" w:rsidRPr="00860EAE" w:rsidRDefault="00FB0846" w:rsidP="00C13F68">
      <w:pPr>
        <w:rPr>
          <w:bCs/>
          <w:i/>
        </w:rPr>
      </w:pPr>
      <w:r>
        <w:rPr>
          <w:bCs/>
          <w:i/>
        </w:rPr>
        <w:t>4.1</w:t>
      </w:r>
      <w:r>
        <w:rPr>
          <w:bCs/>
          <w:i/>
        </w:rPr>
        <w:tab/>
      </w:r>
      <w:r w:rsidR="00C13F68" w:rsidRPr="00860EAE">
        <w:rPr>
          <w:bCs/>
          <w:i/>
        </w:rPr>
        <w:t xml:space="preserve">The Level of the Approved Capital Programme – the Borrowing Requirement </w:t>
      </w:r>
    </w:p>
    <w:p w:rsidR="007C242E" w:rsidRPr="00860EAE" w:rsidRDefault="007C242E" w:rsidP="00C13F68">
      <w:pPr>
        <w:rPr>
          <w:i/>
        </w:rPr>
      </w:pPr>
    </w:p>
    <w:p w:rsidR="00C13F68" w:rsidRDefault="00C13F68" w:rsidP="00C13F68">
      <w:r w:rsidRPr="00860EAE">
        <w:t xml:space="preserve">The </w:t>
      </w:r>
      <w:r w:rsidR="00081329">
        <w:t>County C</w:t>
      </w:r>
      <w:r w:rsidR="00F25AD0">
        <w:t>ouncil</w:t>
      </w:r>
      <w:r w:rsidRPr="00860EAE">
        <w:t>'s estimated borrowing requirement for financing the capital programme in the current and the next three years is as follows:</w:t>
      </w:r>
    </w:p>
    <w:p w:rsidR="00383F1D" w:rsidRDefault="00383F1D" w:rsidP="00C13F68"/>
    <w:p w:rsidR="00383F1D" w:rsidRPr="00860EAE" w:rsidRDefault="00383F1D" w:rsidP="00C13F68"/>
    <w:p w:rsidR="00C13F68" w:rsidRPr="001143BB" w:rsidRDefault="00C13F68" w:rsidP="00C13F68">
      <w:pPr>
        <w:rPr>
          <w:highlight w:val="yellow"/>
        </w:rPr>
      </w:pPr>
    </w:p>
    <w:tbl>
      <w:tblPr>
        <w:tblW w:w="8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1224"/>
        <w:gridCol w:w="1224"/>
        <w:gridCol w:w="1114"/>
        <w:gridCol w:w="1334"/>
      </w:tblGrid>
      <w:tr w:rsidR="00C13F68" w:rsidRPr="001143BB" w:rsidTr="00C13F68">
        <w:tc>
          <w:tcPr>
            <w:tcW w:w="3888" w:type="dxa"/>
            <w:tcBorders>
              <w:top w:val="single" w:sz="4" w:space="0" w:color="auto"/>
            </w:tcBorders>
          </w:tcPr>
          <w:p w:rsidR="00C13F68" w:rsidRPr="001143BB" w:rsidRDefault="00C13F68" w:rsidP="00C13F68">
            <w:pPr>
              <w:rPr>
                <w:highlight w:val="yellow"/>
              </w:rPr>
            </w:pPr>
          </w:p>
        </w:tc>
        <w:tc>
          <w:tcPr>
            <w:tcW w:w="1224" w:type="dxa"/>
            <w:tcBorders>
              <w:top w:val="single" w:sz="4" w:space="0" w:color="auto"/>
            </w:tcBorders>
          </w:tcPr>
          <w:p w:rsidR="00C13F68" w:rsidRPr="00EC4635" w:rsidRDefault="00C13F68" w:rsidP="00EC4635">
            <w:pPr>
              <w:jc w:val="right"/>
              <w:rPr>
                <w:b/>
                <w:bCs/>
              </w:rPr>
            </w:pPr>
            <w:r w:rsidRPr="00EC4635">
              <w:rPr>
                <w:b/>
                <w:bCs/>
              </w:rPr>
              <w:t>201</w:t>
            </w:r>
            <w:r w:rsidR="00EC4635" w:rsidRPr="00EC4635">
              <w:rPr>
                <w:b/>
                <w:bCs/>
              </w:rPr>
              <w:t>5/</w:t>
            </w:r>
            <w:r w:rsidR="007365B3" w:rsidRPr="00EC4635">
              <w:rPr>
                <w:b/>
                <w:bCs/>
              </w:rPr>
              <w:t>1</w:t>
            </w:r>
            <w:r w:rsidR="00EC4635" w:rsidRPr="00EC4635">
              <w:rPr>
                <w:b/>
                <w:bCs/>
              </w:rPr>
              <w:t>6</w:t>
            </w:r>
            <w:r w:rsidRPr="00EC4635">
              <w:rPr>
                <w:b/>
                <w:bCs/>
              </w:rPr>
              <w:t xml:space="preserve"> Revised</w:t>
            </w:r>
          </w:p>
        </w:tc>
        <w:tc>
          <w:tcPr>
            <w:tcW w:w="1224" w:type="dxa"/>
            <w:tcBorders>
              <w:top w:val="single" w:sz="4" w:space="0" w:color="auto"/>
            </w:tcBorders>
            <w:vAlign w:val="center"/>
          </w:tcPr>
          <w:p w:rsidR="00C13F68" w:rsidRPr="00EC4635" w:rsidRDefault="00C13F68" w:rsidP="00EC4635">
            <w:pPr>
              <w:jc w:val="right"/>
              <w:rPr>
                <w:b/>
                <w:bCs/>
              </w:rPr>
            </w:pPr>
            <w:r w:rsidRPr="00EC4635">
              <w:rPr>
                <w:b/>
                <w:bCs/>
              </w:rPr>
              <w:t>201</w:t>
            </w:r>
            <w:r w:rsidR="00EC4635" w:rsidRPr="00EC4635">
              <w:rPr>
                <w:b/>
                <w:bCs/>
              </w:rPr>
              <w:t>6</w:t>
            </w:r>
            <w:r w:rsidR="007365B3" w:rsidRPr="00EC4635">
              <w:rPr>
                <w:b/>
                <w:bCs/>
              </w:rPr>
              <w:t>/1</w:t>
            </w:r>
            <w:r w:rsidR="00EC4635" w:rsidRPr="00EC4635">
              <w:rPr>
                <w:b/>
                <w:bCs/>
              </w:rPr>
              <w:t>7</w:t>
            </w:r>
          </w:p>
        </w:tc>
        <w:tc>
          <w:tcPr>
            <w:tcW w:w="1114" w:type="dxa"/>
            <w:tcBorders>
              <w:top w:val="single" w:sz="4" w:space="0" w:color="auto"/>
            </w:tcBorders>
            <w:vAlign w:val="center"/>
          </w:tcPr>
          <w:p w:rsidR="00C13F68" w:rsidRPr="00EC4635" w:rsidRDefault="00C13F68" w:rsidP="00EC4635">
            <w:pPr>
              <w:jc w:val="right"/>
              <w:rPr>
                <w:b/>
                <w:bCs/>
              </w:rPr>
            </w:pPr>
            <w:r w:rsidRPr="00EC4635">
              <w:rPr>
                <w:b/>
                <w:bCs/>
              </w:rPr>
              <w:t>201</w:t>
            </w:r>
            <w:r w:rsidR="00EC4635" w:rsidRPr="00EC4635">
              <w:rPr>
                <w:b/>
                <w:bCs/>
              </w:rPr>
              <w:t>7</w:t>
            </w:r>
            <w:r w:rsidR="007365B3" w:rsidRPr="00EC4635">
              <w:rPr>
                <w:b/>
                <w:bCs/>
              </w:rPr>
              <w:t>/1</w:t>
            </w:r>
            <w:r w:rsidR="00EC4635" w:rsidRPr="00EC4635">
              <w:rPr>
                <w:b/>
                <w:bCs/>
              </w:rPr>
              <w:t>8</w:t>
            </w:r>
          </w:p>
        </w:tc>
        <w:tc>
          <w:tcPr>
            <w:tcW w:w="1334" w:type="dxa"/>
            <w:tcBorders>
              <w:top w:val="single" w:sz="4" w:space="0" w:color="auto"/>
            </w:tcBorders>
            <w:vAlign w:val="center"/>
          </w:tcPr>
          <w:p w:rsidR="00C13F68" w:rsidRPr="00EC4635" w:rsidRDefault="00C13F68" w:rsidP="00EC4635">
            <w:pPr>
              <w:jc w:val="right"/>
              <w:rPr>
                <w:b/>
                <w:bCs/>
              </w:rPr>
            </w:pPr>
            <w:r w:rsidRPr="00EC4635">
              <w:rPr>
                <w:b/>
                <w:bCs/>
              </w:rPr>
              <w:t>201</w:t>
            </w:r>
            <w:r w:rsidR="00EC4635" w:rsidRPr="00EC4635">
              <w:rPr>
                <w:b/>
                <w:bCs/>
              </w:rPr>
              <w:t>8</w:t>
            </w:r>
            <w:r w:rsidR="000C3158" w:rsidRPr="00EC4635">
              <w:rPr>
                <w:b/>
                <w:bCs/>
              </w:rPr>
              <w:t>/1</w:t>
            </w:r>
            <w:r w:rsidR="00EC4635" w:rsidRPr="00EC4635">
              <w:rPr>
                <w:b/>
                <w:bCs/>
              </w:rPr>
              <w:t>9</w:t>
            </w:r>
          </w:p>
        </w:tc>
      </w:tr>
      <w:tr w:rsidR="00C13F68" w:rsidRPr="001143BB" w:rsidTr="00C13F68">
        <w:tc>
          <w:tcPr>
            <w:tcW w:w="3888" w:type="dxa"/>
          </w:tcPr>
          <w:p w:rsidR="00C13F68" w:rsidRPr="001143BB" w:rsidRDefault="00C13F68" w:rsidP="00C13F68">
            <w:pPr>
              <w:spacing w:after="120"/>
              <w:rPr>
                <w:highlight w:val="yellow"/>
              </w:rPr>
            </w:pPr>
          </w:p>
        </w:tc>
        <w:tc>
          <w:tcPr>
            <w:tcW w:w="1224" w:type="dxa"/>
          </w:tcPr>
          <w:p w:rsidR="00C13F68" w:rsidRPr="00EC4635" w:rsidRDefault="00C13F68" w:rsidP="00C13F68">
            <w:pPr>
              <w:spacing w:after="120"/>
              <w:jc w:val="center"/>
              <w:rPr>
                <w:b/>
                <w:bCs/>
              </w:rPr>
            </w:pPr>
            <w:r w:rsidRPr="00EC4635">
              <w:rPr>
                <w:b/>
                <w:bCs/>
              </w:rPr>
              <w:t xml:space="preserve">   £m</w:t>
            </w:r>
          </w:p>
        </w:tc>
        <w:tc>
          <w:tcPr>
            <w:tcW w:w="1224" w:type="dxa"/>
          </w:tcPr>
          <w:p w:rsidR="00C13F68" w:rsidRPr="00EC4635" w:rsidRDefault="00C13F68" w:rsidP="00C13F68">
            <w:pPr>
              <w:spacing w:after="120"/>
              <w:jc w:val="center"/>
              <w:rPr>
                <w:b/>
                <w:bCs/>
              </w:rPr>
            </w:pPr>
            <w:r w:rsidRPr="00EC4635">
              <w:rPr>
                <w:b/>
                <w:bCs/>
              </w:rPr>
              <w:t xml:space="preserve">   £m</w:t>
            </w:r>
          </w:p>
        </w:tc>
        <w:tc>
          <w:tcPr>
            <w:tcW w:w="1114" w:type="dxa"/>
          </w:tcPr>
          <w:p w:rsidR="00C13F68" w:rsidRPr="00EC4635" w:rsidRDefault="00C13F68" w:rsidP="00C13F68">
            <w:pPr>
              <w:spacing w:after="120"/>
              <w:jc w:val="center"/>
              <w:rPr>
                <w:b/>
                <w:bCs/>
              </w:rPr>
            </w:pPr>
            <w:r w:rsidRPr="00EC4635">
              <w:rPr>
                <w:b/>
                <w:bCs/>
              </w:rPr>
              <w:t xml:space="preserve">  £m</w:t>
            </w:r>
          </w:p>
        </w:tc>
        <w:tc>
          <w:tcPr>
            <w:tcW w:w="1334" w:type="dxa"/>
          </w:tcPr>
          <w:p w:rsidR="00C13F68" w:rsidRPr="00EC4635" w:rsidRDefault="00C13F68" w:rsidP="00C13F68">
            <w:pPr>
              <w:spacing w:after="120"/>
              <w:jc w:val="center"/>
              <w:rPr>
                <w:b/>
                <w:bCs/>
              </w:rPr>
            </w:pPr>
            <w:r w:rsidRPr="00EC4635">
              <w:rPr>
                <w:b/>
                <w:bCs/>
              </w:rPr>
              <w:t xml:space="preserve">    £m</w:t>
            </w:r>
          </w:p>
        </w:tc>
      </w:tr>
      <w:tr w:rsidR="00C13F68" w:rsidRPr="001143BB" w:rsidTr="00C13F68">
        <w:tc>
          <w:tcPr>
            <w:tcW w:w="3888" w:type="dxa"/>
          </w:tcPr>
          <w:p w:rsidR="00C13F68" w:rsidRPr="00652140" w:rsidRDefault="00C13F68" w:rsidP="00C13F68">
            <w:pPr>
              <w:spacing w:after="240"/>
              <w:rPr>
                <w:b/>
              </w:rPr>
            </w:pPr>
            <w:r w:rsidRPr="00652140">
              <w:rPr>
                <w:b/>
              </w:rPr>
              <w:t>Capital Programme Expenditure</w:t>
            </w:r>
          </w:p>
        </w:tc>
        <w:tc>
          <w:tcPr>
            <w:tcW w:w="1224" w:type="dxa"/>
          </w:tcPr>
          <w:p w:rsidR="00C13F68" w:rsidRPr="00EC4635" w:rsidRDefault="00EC4635" w:rsidP="009C4F1A">
            <w:pPr>
              <w:jc w:val="right"/>
              <w:rPr>
                <w:b/>
              </w:rPr>
            </w:pPr>
            <w:r w:rsidRPr="00EC4635">
              <w:rPr>
                <w:b/>
              </w:rPr>
              <w:t>250.521</w:t>
            </w:r>
          </w:p>
        </w:tc>
        <w:tc>
          <w:tcPr>
            <w:tcW w:w="1224" w:type="dxa"/>
          </w:tcPr>
          <w:p w:rsidR="00C13F68" w:rsidRPr="00EC4635" w:rsidRDefault="00EC4635">
            <w:pPr>
              <w:jc w:val="right"/>
              <w:rPr>
                <w:b/>
              </w:rPr>
            </w:pPr>
            <w:r w:rsidRPr="00EC4635">
              <w:rPr>
                <w:b/>
              </w:rPr>
              <w:t>103.</w:t>
            </w:r>
            <w:r w:rsidR="00F73EE4">
              <w:rPr>
                <w:b/>
              </w:rPr>
              <w:t>8</w:t>
            </w:r>
            <w:r w:rsidR="00F73EE4" w:rsidRPr="00EC4635">
              <w:rPr>
                <w:b/>
              </w:rPr>
              <w:t>05</w:t>
            </w:r>
          </w:p>
        </w:tc>
        <w:tc>
          <w:tcPr>
            <w:tcW w:w="1114" w:type="dxa"/>
          </w:tcPr>
          <w:p w:rsidR="00C13F68" w:rsidRPr="00EC4635" w:rsidRDefault="00BF0506" w:rsidP="002466E3">
            <w:pPr>
              <w:jc w:val="right"/>
              <w:rPr>
                <w:b/>
              </w:rPr>
            </w:pPr>
            <w:r>
              <w:rPr>
                <w:b/>
              </w:rPr>
              <w:t>77.024</w:t>
            </w:r>
          </w:p>
        </w:tc>
        <w:tc>
          <w:tcPr>
            <w:tcW w:w="1334" w:type="dxa"/>
          </w:tcPr>
          <w:p w:rsidR="00C13F68" w:rsidRPr="00EC4635" w:rsidRDefault="00BF0506" w:rsidP="00C13F68">
            <w:pPr>
              <w:jc w:val="right"/>
              <w:rPr>
                <w:b/>
              </w:rPr>
            </w:pPr>
            <w:r>
              <w:rPr>
                <w:b/>
              </w:rPr>
              <w:t>49.621</w:t>
            </w:r>
          </w:p>
        </w:tc>
      </w:tr>
      <w:tr w:rsidR="00C13F68" w:rsidRPr="001143BB" w:rsidTr="00C13F68">
        <w:tc>
          <w:tcPr>
            <w:tcW w:w="3888" w:type="dxa"/>
          </w:tcPr>
          <w:p w:rsidR="00C13F68" w:rsidRPr="00652140" w:rsidRDefault="00C13F68" w:rsidP="00C13F68">
            <w:pPr>
              <w:spacing w:after="240"/>
              <w:rPr>
                <w:i/>
              </w:rPr>
            </w:pPr>
            <w:r w:rsidRPr="00652140">
              <w:rPr>
                <w:i/>
              </w:rPr>
              <w:t>Financed by:</w:t>
            </w:r>
          </w:p>
          <w:p w:rsidR="00C13F68" w:rsidRPr="00652140" w:rsidRDefault="00C13F68" w:rsidP="00C13F68">
            <w:pPr>
              <w:spacing w:after="240"/>
            </w:pPr>
            <w:r w:rsidRPr="00652140">
              <w:t>Capital Receipts</w:t>
            </w:r>
          </w:p>
        </w:tc>
        <w:tc>
          <w:tcPr>
            <w:tcW w:w="1224" w:type="dxa"/>
          </w:tcPr>
          <w:p w:rsidR="00C13F68" w:rsidRPr="00DE3471" w:rsidRDefault="00C13F68" w:rsidP="00C13F68">
            <w:pPr>
              <w:jc w:val="right"/>
            </w:pPr>
          </w:p>
          <w:p w:rsidR="00C13F68" w:rsidRPr="00DE3471" w:rsidRDefault="00C13F68" w:rsidP="00C13F68">
            <w:pPr>
              <w:jc w:val="right"/>
            </w:pPr>
          </w:p>
          <w:p w:rsidR="00C13F68" w:rsidRPr="00DE3471" w:rsidRDefault="00EC4635" w:rsidP="00C13F68">
            <w:pPr>
              <w:jc w:val="right"/>
            </w:pPr>
            <w:r w:rsidRPr="00DE3471">
              <w:t>21.297</w:t>
            </w:r>
          </w:p>
        </w:tc>
        <w:tc>
          <w:tcPr>
            <w:tcW w:w="1224" w:type="dxa"/>
          </w:tcPr>
          <w:p w:rsidR="00C13F68" w:rsidRPr="00DE3471" w:rsidRDefault="00C13F68" w:rsidP="00C13F68">
            <w:pPr>
              <w:jc w:val="right"/>
            </w:pPr>
          </w:p>
          <w:p w:rsidR="00C13F68" w:rsidRPr="00DE3471" w:rsidRDefault="00C13F68" w:rsidP="00C13F68">
            <w:pPr>
              <w:jc w:val="right"/>
            </w:pPr>
          </w:p>
          <w:p w:rsidR="00C13F68" w:rsidRPr="00DE3471" w:rsidRDefault="00BF0506" w:rsidP="00C13F68">
            <w:pPr>
              <w:jc w:val="right"/>
            </w:pPr>
            <w:r>
              <w:t>1.036</w:t>
            </w:r>
          </w:p>
        </w:tc>
        <w:tc>
          <w:tcPr>
            <w:tcW w:w="1114" w:type="dxa"/>
          </w:tcPr>
          <w:p w:rsidR="00C13F68" w:rsidRPr="00DE3471" w:rsidRDefault="00C13F68" w:rsidP="00C13F68">
            <w:pPr>
              <w:jc w:val="right"/>
            </w:pPr>
          </w:p>
          <w:p w:rsidR="00C13F68" w:rsidRPr="00DE3471" w:rsidRDefault="00C13F68" w:rsidP="00C13F68">
            <w:pPr>
              <w:jc w:val="right"/>
            </w:pPr>
          </w:p>
          <w:p w:rsidR="00C13F68" w:rsidRPr="00DE3471" w:rsidRDefault="00C13F68" w:rsidP="00C13F68">
            <w:pPr>
              <w:jc w:val="right"/>
            </w:pPr>
          </w:p>
        </w:tc>
        <w:tc>
          <w:tcPr>
            <w:tcW w:w="1334" w:type="dxa"/>
          </w:tcPr>
          <w:p w:rsidR="00C13F68" w:rsidRPr="00DE3471" w:rsidRDefault="00C13F68" w:rsidP="00C13F68">
            <w:pPr>
              <w:jc w:val="right"/>
            </w:pPr>
          </w:p>
          <w:p w:rsidR="00C13F68" w:rsidRPr="00DE3471" w:rsidRDefault="00C13F68" w:rsidP="00C13F68">
            <w:pPr>
              <w:jc w:val="right"/>
            </w:pPr>
          </w:p>
          <w:p w:rsidR="00C13F68" w:rsidRPr="00DE3471" w:rsidRDefault="00EC4635" w:rsidP="00C13F68">
            <w:pPr>
              <w:jc w:val="right"/>
            </w:pPr>
            <w:r w:rsidRPr="00DE3471">
              <w:t>0.000</w:t>
            </w:r>
          </w:p>
        </w:tc>
      </w:tr>
      <w:tr w:rsidR="00C13F68" w:rsidRPr="001143BB" w:rsidTr="00C13F68">
        <w:tc>
          <w:tcPr>
            <w:tcW w:w="3888" w:type="dxa"/>
          </w:tcPr>
          <w:p w:rsidR="00C13F68" w:rsidRPr="00652140" w:rsidRDefault="00C13F68" w:rsidP="00C13F68">
            <w:pPr>
              <w:spacing w:after="240"/>
            </w:pPr>
            <w:r w:rsidRPr="00652140">
              <w:t>Grants and Contributions</w:t>
            </w:r>
          </w:p>
        </w:tc>
        <w:tc>
          <w:tcPr>
            <w:tcW w:w="1224" w:type="dxa"/>
          </w:tcPr>
          <w:p w:rsidR="00C13F68" w:rsidRPr="00DE3471" w:rsidRDefault="00EC4635" w:rsidP="00C13F68">
            <w:pPr>
              <w:jc w:val="right"/>
            </w:pPr>
            <w:r w:rsidRPr="00DE3471">
              <w:t>143.350</w:t>
            </w:r>
          </w:p>
        </w:tc>
        <w:tc>
          <w:tcPr>
            <w:tcW w:w="1224" w:type="dxa"/>
          </w:tcPr>
          <w:p w:rsidR="00C13F68" w:rsidRPr="00DE3471" w:rsidRDefault="007D4B06">
            <w:pPr>
              <w:jc w:val="right"/>
            </w:pPr>
            <w:r>
              <w:t>54.</w:t>
            </w:r>
            <w:r w:rsidR="00F73EE4">
              <w:t>540</w:t>
            </w:r>
          </w:p>
        </w:tc>
        <w:tc>
          <w:tcPr>
            <w:tcW w:w="1114" w:type="dxa"/>
          </w:tcPr>
          <w:p w:rsidR="00C13F68" w:rsidRPr="00DE3471" w:rsidRDefault="007D4B06" w:rsidP="00C13F68">
            <w:pPr>
              <w:jc w:val="right"/>
            </w:pPr>
            <w:r>
              <w:t>58.974</w:t>
            </w:r>
          </w:p>
        </w:tc>
        <w:tc>
          <w:tcPr>
            <w:tcW w:w="1334" w:type="dxa"/>
          </w:tcPr>
          <w:p w:rsidR="00C13F68" w:rsidRPr="00DE3471" w:rsidRDefault="00EC4635" w:rsidP="00C13F68">
            <w:pPr>
              <w:jc w:val="right"/>
            </w:pPr>
            <w:r w:rsidRPr="00DE3471">
              <w:t>39.143</w:t>
            </w:r>
          </w:p>
        </w:tc>
      </w:tr>
      <w:tr w:rsidR="00C13F68" w:rsidRPr="001143BB" w:rsidTr="00C13F68">
        <w:tc>
          <w:tcPr>
            <w:tcW w:w="3888" w:type="dxa"/>
          </w:tcPr>
          <w:p w:rsidR="00C13F68" w:rsidRPr="00652140" w:rsidRDefault="00C13F68" w:rsidP="00C13F68">
            <w:pPr>
              <w:spacing w:after="240"/>
            </w:pPr>
            <w:r w:rsidRPr="00652140">
              <w:t>Revenue Contributions</w:t>
            </w:r>
          </w:p>
        </w:tc>
        <w:tc>
          <w:tcPr>
            <w:tcW w:w="1224" w:type="dxa"/>
          </w:tcPr>
          <w:p w:rsidR="00C13F68" w:rsidRPr="00DE3471" w:rsidRDefault="00EC4635" w:rsidP="00C13F68">
            <w:pPr>
              <w:jc w:val="right"/>
            </w:pPr>
            <w:r w:rsidRPr="00DE3471">
              <w:t>24.869</w:t>
            </w:r>
          </w:p>
        </w:tc>
        <w:tc>
          <w:tcPr>
            <w:tcW w:w="1224" w:type="dxa"/>
          </w:tcPr>
          <w:p w:rsidR="00C13F68" w:rsidRPr="00DE3471" w:rsidRDefault="00BF0506" w:rsidP="00C13F68">
            <w:pPr>
              <w:jc w:val="right"/>
            </w:pPr>
            <w:r>
              <w:t>4.000</w:t>
            </w:r>
          </w:p>
        </w:tc>
        <w:tc>
          <w:tcPr>
            <w:tcW w:w="1114" w:type="dxa"/>
          </w:tcPr>
          <w:p w:rsidR="00C13F68" w:rsidRPr="00DE3471" w:rsidRDefault="00BF0506" w:rsidP="00985A8A">
            <w:pPr>
              <w:jc w:val="right"/>
            </w:pPr>
            <w:r>
              <w:t>4.500</w:t>
            </w:r>
          </w:p>
        </w:tc>
        <w:tc>
          <w:tcPr>
            <w:tcW w:w="1334" w:type="dxa"/>
          </w:tcPr>
          <w:p w:rsidR="00C13F68" w:rsidRPr="00DE3471" w:rsidRDefault="00860EAE">
            <w:pPr>
              <w:jc w:val="right"/>
            </w:pPr>
            <w:r w:rsidRPr="00DE3471">
              <w:t>0.</w:t>
            </w:r>
            <w:r w:rsidR="00652140" w:rsidRPr="00DE3471">
              <w:t>000</w:t>
            </w:r>
          </w:p>
        </w:tc>
      </w:tr>
      <w:tr w:rsidR="00C13F68" w:rsidRPr="001143BB" w:rsidTr="00C13F68">
        <w:tc>
          <w:tcPr>
            <w:tcW w:w="3888" w:type="dxa"/>
          </w:tcPr>
          <w:p w:rsidR="00C13F68" w:rsidRPr="00652140" w:rsidRDefault="00C13F68" w:rsidP="00C13F68">
            <w:pPr>
              <w:spacing w:after="240"/>
              <w:rPr>
                <w:b/>
              </w:rPr>
            </w:pPr>
            <w:r w:rsidRPr="00652140">
              <w:rPr>
                <w:b/>
              </w:rPr>
              <w:lastRenderedPageBreak/>
              <w:t>Borrowing</w:t>
            </w:r>
          </w:p>
        </w:tc>
        <w:tc>
          <w:tcPr>
            <w:tcW w:w="1224" w:type="dxa"/>
          </w:tcPr>
          <w:p w:rsidR="00C13F68" w:rsidRPr="00BF0506" w:rsidRDefault="00EC4635">
            <w:pPr>
              <w:jc w:val="right"/>
              <w:rPr>
                <w:b/>
              </w:rPr>
            </w:pPr>
            <w:r w:rsidRPr="00BF0506">
              <w:rPr>
                <w:b/>
              </w:rPr>
              <w:t>61.005</w:t>
            </w:r>
          </w:p>
        </w:tc>
        <w:tc>
          <w:tcPr>
            <w:tcW w:w="1224" w:type="dxa"/>
          </w:tcPr>
          <w:p w:rsidR="00C13F68" w:rsidRPr="00BF0506" w:rsidRDefault="00BF0506" w:rsidP="00C13F68">
            <w:pPr>
              <w:jc w:val="right"/>
              <w:rPr>
                <w:b/>
              </w:rPr>
            </w:pPr>
            <w:r>
              <w:rPr>
                <w:b/>
              </w:rPr>
              <w:t>44.229</w:t>
            </w:r>
          </w:p>
        </w:tc>
        <w:tc>
          <w:tcPr>
            <w:tcW w:w="1114" w:type="dxa"/>
          </w:tcPr>
          <w:p w:rsidR="00C13F68" w:rsidRPr="00BF0506" w:rsidRDefault="00BF0506" w:rsidP="00C13F68">
            <w:pPr>
              <w:jc w:val="right"/>
              <w:rPr>
                <w:b/>
              </w:rPr>
            </w:pPr>
            <w:r>
              <w:rPr>
                <w:b/>
              </w:rPr>
              <w:t>13.550</w:t>
            </w:r>
          </w:p>
        </w:tc>
        <w:tc>
          <w:tcPr>
            <w:tcW w:w="1334" w:type="dxa"/>
          </w:tcPr>
          <w:p w:rsidR="00C13F68" w:rsidRPr="00BF0506" w:rsidRDefault="00EC4635" w:rsidP="00C13F68">
            <w:pPr>
              <w:jc w:val="right"/>
              <w:rPr>
                <w:b/>
              </w:rPr>
            </w:pPr>
            <w:r w:rsidRPr="00BF0506">
              <w:rPr>
                <w:b/>
              </w:rPr>
              <w:t>10.478</w:t>
            </w:r>
          </w:p>
        </w:tc>
      </w:tr>
      <w:tr w:rsidR="00C13F68" w:rsidRPr="001143BB" w:rsidTr="00C13F68">
        <w:tc>
          <w:tcPr>
            <w:tcW w:w="3888" w:type="dxa"/>
          </w:tcPr>
          <w:p w:rsidR="00C13F68" w:rsidRPr="00BF0506" w:rsidRDefault="00C13F68" w:rsidP="00C13F68">
            <w:pPr>
              <w:spacing w:after="240"/>
            </w:pPr>
            <w:r w:rsidRPr="00BF0506">
              <w:rPr>
                <w:i/>
              </w:rPr>
              <w:t>Add Maturing Debt to be replaced</w:t>
            </w:r>
            <w:r w:rsidRPr="00BF0506">
              <w:t>:</w:t>
            </w:r>
          </w:p>
        </w:tc>
        <w:tc>
          <w:tcPr>
            <w:tcW w:w="1224" w:type="dxa"/>
          </w:tcPr>
          <w:p w:rsidR="00C13F68" w:rsidRPr="00BF0506" w:rsidRDefault="00C13F68" w:rsidP="00C13F68">
            <w:pPr>
              <w:jc w:val="right"/>
            </w:pPr>
          </w:p>
        </w:tc>
        <w:tc>
          <w:tcPr>
            <w:tcW w:w="1224" w:type="dxa"/>
          </w:tcPr>
          <w:p w:rsidR="00C13F68" w:rsidRPr="00BF0506" w:rsidRDefault="00C13F68" w:rsidP="00C13F68">
            <w:pPr>
              <w:jc w:val="right"/>
            </w:pPr>
          </w:p>
        </w:tc>
        <w:tc>
          <w:tcPr>
            <w:tcW w:w="1114" w:type="dxa"/>
          </w:tcPr>
          <w:p w:rsidR="00C13F68" w:rsidRPr="00BF0506" w:rsidRDefault="00C13F68" w:rsidP="00C13F68">
            <w:pPr>
              <w:jc w:val="right"/>
            </w:pPr>
          </w:p>
        </w:tc>
        <w:tc>
          <w:tcPr>
            <w:tcW w:w="1334" w:type="dxa"/>
          </w:tcPr>
          <w:p w:rsidR="00C13F68" w:rsidRPr="00BF0506" w:rsidRDefault="00C13F68" w:rsidP="00C13F68">
            <w:pPr>
              <w:jc w:val="right"/>
            </w:pPr>
          </w:p>
        </w:tc>
      </w:tr>
      <w:tr w:rsidR="00652140" w:rsidRPr="001143BB" w:rsidTr="00C13F68">
        <w:tc>
          <w:tcPr>
            <w:tcW w:w="3888" w:type="dxa"/>
          </w:tcPr>
          <w:p w:rsidR="00652140" w:rsidRPr="00BF0506" w:rsidRDefault="00652140" w:rsidP="00652140">
            <w:pPr>
              <w:spacing w:after="240"/>
            </w:pPr>
            <w:r w:rsidRPr="00BF0506">
              <w:t>Long Term PWLB</w:t>
            </w:r>
          </w:p>
        </w:tc>
        <w:tc>
          <w:tcPr>
            <w:tcW w:w="1224" w:type="dxa"/>
          </w:tcPr>
          <w:p w:rsidR="00652140" w:rsidRPr="00BF0506" w:rsidRDefault="00652140" w:rsidP="00652140">
            <w:pPr>
              <w:jc w:val="right"/>
            </w:pPr>
            <w:r w:rsidRPr="00BF0506">
              <w:t>0.000</w:t>
            </w:r>
          </w:p>
        </w:tc>
        <w:tc>
          <w:tcPr>
            <w:tcW w:w="1224" w:type="dxa"/>
          </w:tcPr>
          <w:p w:rsidR="00652140" w:rsidRPr="00BF0506" w:rsidRDefault="00652140" w:rsidP="00652140">
            <w:pPr>
              <w:jc w:val="right"/>
            </w:pPr>
            <w:r w:rsidRPr="00BF0506">
              <w:t>0.000</w:t>
            </w:r>
          </w:p>
        </w:tc>
        <w:tc>
          <w:tcPr>
            <w:tcW w:w="1114" w:type="dxa"/>
          </w:tcPr>
          <w:p w:rsidR="00652140" w:rsidRPr="00BF0506" w:rsidRDefault="00652140" w:rsidP="00652140">
            <w:pPr>
              <w:jc w:val="right"/>
            </w:pPr>
            <w:r w:rsidRPr="00BF0506">
              <w:t>0.000</w:t>
            </w:r>
          </w:p>
        </w:tc>
        <w:tc>
          <w:tcPr>
            <w:tcW w:w="1334" w:type="dxa"/>
          </w:tcPr>
          <w:p w:rsidR="00652140" w:rsidRPr="00BF0506" w:rsidRDefault="00652140" w:rsidP="00652140">
            <w:pPr>
              <w:jc w:val="right"/>
            </w:pPr>
            <w:r w:rsidRPr="00BF0506">
              <w:t>0.000</w:t>
            </w:r>
          </w:p>
        </w:tc>
      </w:tr>
      <w:tr w:rsidR="006B5382" w:rsidRPr="001143BB" w:rsidTr="00C13F68">
        <w:tc>
          <w:tcPr>
            <w:tcW w:w="3888" w:type="dxa"/>
          </w:tcPr>
          <w:p w:rsidR="006B5382" w:rsidRPr="00BF0506" w:rsidRDefault="006B5382" w:rsidP="00652140">
            <w:pPr>
              <w:spacing w:after="240"/>
            </w:pPr>
            <w:r w:rsidRPr="00BF0506">
              <w:t>Long term fixed Borrowing</w:t>
            </w:r>
          </w:p>
        </w:tc>
        <w:tc>
          <w:tcPr>
            <w:tcW w:w="1224" w:type="dxa"/>
          </w:tcPr>
          <w:p w:rsidR="006B5382" w:rsidRPr="00BF0506" w:rsidRDefault="006B5382" w:rsidP="00652140">
            <w:pPr>
              <w:jc w:val="right"/>
            </w:pPr>
            <w:r w:rsidRPr="00BF0506">
              <w:t>0.000</w:t>
            </w:r>
          </w:p>
        </w:tc>
        <w:tc>
          <w:tcPr>
            <w:tcW w:w="1224" w:type="dxa"/>
          </w:tcPr>
          <w:p w:rsidR="006B5382" w:rsidRPr="00BF0506" w:rsidRDefault="009B6DA8" w:rsidP="00652140">
            <w:pPr>
              <w:jc w:val="right"/>
            </w:pPr>
            <w:r w:rsidRPr="00BF0506">
              <w:t>100</w:t>
            </w:r>
            <w:r w:rsidR="006B5382" w:rsidRPr="00BF0506">
              <w:t>.000</w:t>
            </w:r>
          </w:p>
        </w:tc>
        <w:tc>
          <w:tcPr>
            <w:tcW w:w="1114" w:type="dxa"/>
          </w:tcPr>
          <w:p w:rsidR="006B5382" w:rsidRPr="00BF0506" w:rsidRDefault="009B6DA8" w:rsidP="00652140">
            <w:pPr>
              <w:jc w:val="right"/>
            </w:pPr>
            <w:r w:rsidRPr="00BF0506">
              <w:t>100</w:t>
            </w:r>
            <w:r w:rsidR="006B5382" w:rsidRPr="00BF0506">
              <w:t>.000</w:t>
            </w:r>
          </w:p>
        </w:tc>
        <w:tc>
          <w:tcPr>
            <w:tcW w:w="1334" w:type="dxa"/>
          </w:tcPr>
          <w:p w:rsidR="006B5382" w:rsidRPr="00BF0506" w:rsidRDefault="009B6DA8" w:rsidP="00652140">
            <w:pPr>
              <w:jc w:val="right"/>
            </w:pPr>
            <w:r w:rsidRPr="00BF0506">
              <w:t>100</w:t>
            </w:r>
            <w:r w:rsidR="006B5382" w:rsidRPr="00BF0506">
              <w:t>.000</w:t>
            </w:r>
          </w:p>
        </w:tc>
      </w:tr>
      <w:tr w:rsidR="000F4D23" w:rsidRPr="001143BB" w:rsidTr="00C13F68">
        <w:tc>
          <w:tcPr>
            <w:tcW w:w="3888" w:type="dxa"/>
          </w:tcPr>
          <w:p w:rsidR="000F4D23" w:rsidRPr="00BF0506" w:rsidRDefault="000F4D23" w:rsidP="000F4D23">
            <w:pPr>
              <w:spacing w:after="240"/>
            </w:pPr>
            <w:r w:rsidRPr="00BF0506">
              <w:t>Short Term Market Borrowing</w:t>
            </w:r>
          </w:p>
        </w:tc>
        <w:tc>
          <w:tcPr>
            <w:tcW w:w="1224" w:type="dxa"/>
          </w:tcPr>
          <w:p w:rsidR="000F4D23" w:rsidRPr="00BF0506" w:rsidRDefault="000F4D23" w:rsidP="000F4D23">
            <w:pPr>
              <w:jc w:val="right"/>
            </w:pPr>
            <w:r w:rsidRPr="00BF0506">
              <w:t>579.950</w:t>
            </w:r>
          </w:p>
          <w:p w:rsidR="000F4D23" w:rsidRPr="00BF0506" w:rsidRDefault="000F4D23" w:rsidP="000F4D23">
            <w:pPr>
              <w:jc w:val="right"/>
            </w:pPr>
          </w:p>
        </w:tc>
        <w:tc>
          <w:tcPr>
            <w:tcW w:w="1224" w:type="dxa"/>
          </w:tcPr>
          <w:p w:rsidR="000F4D23" w:rsidRPr="00BF0506" w:rsidRDefault="009B6DA8" w:rsidP="000F4D23">
            <w:pPr>
              <w:jc w:val="right"/>
            </w:pPr>
            <w:r w:rsidRPr="00BF0506">
              <w:t>479</w:t>
            </w:r>
            <w:r w:rsidR="000F4D23" w:rsidRPr="00BF0506">
              <w:t>.950</w:t>
            </w:r>
          </w:p>
        </w:tc>
        <w:tc>
          <w:tcPr>
            <w:tcW w:w="1114" w:type="dxa"/>
          </w:tcPr>
          <w:p w:rsidR="000F4D23" w:rsidRPr="00BF0506" w:rsidRDefault="009B6DA8" w:rsidP="000F4D23">
            <w:pPr>
              <w:jc w:val="right"/>
            </w:pPr>
            <w:r w:rsidRPr="00BF0506">
              <w:t>479</w:t>
            </w:r>
            <w:r w:rsidR="006B5382" w:rsidRPr="00BF0506">
              <w:t>.950</w:t>
            </w:r>
          </w:p>
        </w:tc>
        <w:tc>
          <w:tcPr>
            <w:tcW w:w="1334" w:type="dxa"/>
          </w:tcPr>
          <w:p w:rsidR="000F4D23" w:rsidRPr="00BF0506" w:rsidRDefault="009B6DA8" w:rsidP="000F4D23">
            <w:pPr>
              <w:jc w:val="right"/>
            </w:pPr>
            <w:r w:rsidRPr="00BF0506">
              <w:t>479</w:t>
            </w:r>
            <w:r w:rsidR="000F4D23" w:rsidRPr="00BF0506">
              <w:t>.950</w:t>
            </w:r>
          </w:p>
        </w:tc>
      </w:tr>
      <w:tr w:rsidR="007365B3" w:rsidRPr="001143BB" w:rsidTr="00C13F68">
        <w:tc>
          <w:tcPr>
            <w:tcW w:w="3888" w:type="dxa"/>
          </w:tcPr>
          <w:p w:rsidR="007365B3" w:rsidRPr="009B6DA8" w:rsidRDefault="007365B3" w:rsidP="007365B3">
            <w:pPr>
              <w:spacing w:after="240"/>
            </w:pPr>
            <w:r w:rsidRPr="009B6DA8">
              <w:t>Less Transferred Debt</w:t>
            </w:r>
          </w:p>
        </w:tc>
        <w:tc>
          <w:tcPr>
            <w:tcW w:w="1224" w:type="dxa"/>
          </w:tcPr>
          <w:p w:rsidR="007365B3" w:rsidRPr="009B6DA8" w:rsidRDefault="00DE3471" w:rsidP="007365B3">
            <w:pPr>
              <w:jc w:val="right"/>
            </w:pPr>
            <w:r w:rsidRPr="009B6DA8">
              <w:t>1.899</w:t>
            </w:r>
          </w:p>
        </w:tc>
        <w:tc>
          <w:tcPr>
            <w:tcW w:w="1224" w:type="dxa"/>
          </w:tcPr>
          <w:p w:rsidR="007365B3" w:rsidRPr="009B6DA8" w:rsidRDefault="00DE3471" w:rsidP="007365B3">
            <w:pPr>
              <w:jc w:val="right"/>
            </w:pPr>
            <w:r w:rsidRPr="009B6DA8">
              <w:t>1.687</w:t>
            </w:r>
          </w:p>
        </w:tc>
        <w:tc>
          <w:tcPr>
            <w:tcW w:w="1114" w:type="dxa"/>
          </w:tcPr>
          <w:p w:rsidR="007365B3" w:rsidRPr="009B6DA8" w:rsidRDefault="00DE3471" w:rsidP="007365B3">
            <w:pPr>
              <w:jc w:val="right"/>
            </w:pPr>
            <w:r w:rsidRPr="009B6DA8">
              <w:t>1.629</w:t>
            </w:r>
          </w:p>
        </w:tc>
        <w:tc>
          <w:tcPr>
            <w:tcW w:w="1334" w:type="dxa"/>
          </w:tcPr>
          <w:p w:rsidR="007365B3" w:rsidRPr="00BF0506" w:rsidRDefault="007365B3" w:rsidP="007365B3">
            <w:pPr>
              <w:jc w:val="right"/>
            </w:pPr>
            <w:r w:rsidRPr="00BF0506">
              <w:t>1</w:t>
            </w:r>
            <w:r w:rsidR="00DF510A" w:rsidRPr="00BF0506">
              <w:t>.629</w:t>
            </w:r>
          </w:p>
        </w:tc>
      </w:tr>
      <w:tr w:rsidR="00C13F68" w:rsidRPr="001143BB" w:rsidTr="00C13F68">
        <w:tc>
          <w:tcPr>
            <w:tcW w:w="3888" w:type="dxa"/>
          </w:tcPr>
          <w:p w:rsidR="00C13F68" w:rsidRPr="009B6DA8" w:rsidRDefault="00C13F68" w:rsidP="00C13F68">
            <w:pPr>
              <w:spacing w:after="240"/>
            </w:pPr>
            <w:r w:rsidRPr="009B6DA8">
              <w:t>Less Statutory Charge to Revenue</w:t>
            </w:r>
          </w:p>
        </w:tc>
        <w:tc>
          <w:tcPr>
            <w:tcW w:w="1224" w:type="dxa"/>
          </w:tcPr>
          <w:p w:rsidR="00C13F68" w:rsidRPr="009B6DA8" w:rsidRDefault="00DE3471" w:rsidP="0055635A">
            <w:pPr>
              <w:jc w:val="right"/>
            </w:pPr>
            <w:r w:rsidRPr="009B6DA8">
              <w:t>19.967</w:t>
            </w:r>
          </w:p>
        </w:tc>
        <w:tc>
          <w:tcPr>
            <w:tcW w:w="1224" w:type="dxa"/>
          </w:tcPr>
          <w:p w:rsidR="00C13F68" w:rsidRPr="009B6DA8" w:rsidRDefault="00DE3471" w:rsidP="00507F04">
            <w:pPr>
              <w:jc w:val="right"/>
            </w:pPr>
            <w:r w:rsidRPr="009B6DA8">
              <w:t>20.749</w:t>
            </w:r>
          </w:p>
        </w:tc>
        <w:tc>
          <w:tcPr>
            <w:tcW w:w="1114" w:type="dxa"/>
          </w:tcPr>
          <w:p w:rsidR="00C13F68" w:rsidRPr="009B6DA8" w:rsidRDefault="00DE3471" w:rsidP="002466E3">
            <w:pPr>
              <w:jc w:val="right"/>
            </w:pPr>
            <w:r w:rsidRPr="009B6DA8">
              <w:t>20.877</w:t>
            </w:r>
          </w:p>
        </w:tc>
        <w:tc>
          <w:tcPr>
            <w:tcW w:w="1334" w:type="dxa"/>
          </w:tcPr>
          <w:p w:rsidR="00C13F68" w:rsidRPr="009B6DA8" w:rsidRDefault="00DE3471" w:rsidP="002466E3">
            <w:pPr>
              <w:jc w:val="right"/>
            </w:pPr>
            <w:r w:rsidRPr="009B6DA8">
              <w:t>21.537</w:t>
            </w:r>
          </w:p>
        </w:tc>
      </w:tr>
      <w:tr w:rsidR="00C13F68" w:rsidRPr="001143BB" w:rsidTr="00C13F68">
        <w:trPr>
          <w:trHeight w:val="678"/>
        </w:trPr>
        <w:tc>
          <w:tcPr>
            <w:tcW w:w="3888" w:type="dxa"/>
            <w:tcBorders>
              <w:bottom w:val="single" w:sz="4" w:space="0" w:color="auto"/>
            </w:tcBorders>
          </w:tcPr>
          <w:p w:rsidR="00C13F68" w:rsidRPr="00BF0506" w:rsidRDefault="005D759F" w:rsidP="00C13F68">
            <w:pPr>
              <w:spacing w:after="240"/>
              <w:rPr>
                <w:b/>
                <w:bCs/>
              </w:rPr>
            </w:pPr>
            <w:r w:rsidRPr="00BF0506">
              <w:rPr>
                <w:b/>
                <w:bCs/>
              </w:rPr>
              <w:t xml:space="preserve">Total </w:t>
            </w:r>
            <w:r w:rsidR="00C13F68" w:rsidRPr="00BF0506">
              <w:rPr>
                <w:b/>
                <w:bCs/>
              </w:rPr>
              <w:t>Borrowing Requirement</w:t>
            </w:r>
          </w:p>
          <w:p w:rsidR="005E1440" w:rsidRPr="00BF0506" w:rsidRDefault="005E1440" w:rsidP="00C13F68">
            <w:pPr>
              <w:spacing w:after="240"/>
              <w:rPr>
                <w:b/>
                <w:bCs/>
              </w:rPr>
            </w:pPr>
          </w:p>
        </w:tc>
        <w:tc>
          <w:tcPr>
            <w:tcW w:w="1224" w:type="dxa"/>
            <w:tcBorders>
              <w:bottom w:val="single" w:sz="4" w:space="0" w:color="auto"/>
            </w:tcBorders>
          </w:tcPr>
          <w:p w:rsidR="005E1440" w:rsidRPr="00BF0506" w:rsidRDefault="007D4B06" w:rsidP="00C13F68">
            <w:pPr>
              <w:jc w:val="right"/>
              <w:rPr>
                <w:b/>
                <w:bCs/>
              </w:rPr>
            </w:pPr>
            <w:r>
              <w:rPr>
                <w:b/>
                <w:bCs/>
              </w:rPr>
              <w:t>619.089</w:t>
            </w:r>
          </w:p>
          <w:p w:rsidR="005E1440" w:rsidRPr="00BF0506" w:rsidRDefault="005E1440">
            <w:pPr>
              <w:jc w:val="right"/>
              <w:rPr>
                <w:b/>
                <w:bCs/>
              </w:rPr>
            </w:pPr>
          </w:p>
        </w:tc>
        <w:tc>
          <w:tcPr>
            <w:tcW w:w="1224" w:type="dxa"/>
            <w:tcBorders>
              <w:bottom w:val="single" w:sz="4" w:space="0" w:color="auto"/>
            </w:tcBorders>
          </w:tcPr>
          <w:p w:rsidR="005E1440" w:rsidRPr="00BF0506" w:rsidRDefault="007D4B06">
            <w:pPr>
              <w:jc w:val="right"/>
              <w:rPr>
                <w:b/>
                <w:bCs/>
              </w:rPr>
            </w:pPr>
            <w:r>
              <w:rPr>
                <w:b/>
                <w:bCs/>
              </w:rPr>
              <w:t>601.743</w:t>
            </w:r>
          </w:p>
        </w:tc>
        <w:tc>
          <w:tcPr>
            <w:tcW w:w="1114" w:type="dxa"/>
            <w:tcBorders>
              <w:bottom w:val="single" w:sz="4" w:space="0" w:color="auto"/>
            </w:tcBorders>
          </w:tcPr>
          <w:p w:rsidR="005E1440" w:rsidRPr="00BF0506" w:rsidRDefault="007D4B06">
            <w:pPr>
              <w:jc w:val="right"/>
              <w:rPr>
                <w:b/>
                <w:bCs/>
              </w:rPr>
            </w:pPr>
            <w:r>
              <w:rPr>
                <w:b/>
                <w:bCs/>
              </w:rPr>
              <w:t>570.994</w:t>
            </w:r>
          </w:p>
        </w:tc>
        <w:tc>
          <w:tcPr>
            <w:tcW w:w="1334" w:type="dxa"/>
            <w:tcBorders>
              <w:bottom w:val="single" w:sz="4" w:space="0" w:color="auto"/>
            </w:tcBorders>
          </w:tcPr>
          <w:p w:rsidR="005E1440" w:rsidRPr="00BF0506" w:rsidRDefault="003A2878" w:rsidP="00F861B8">
            <w:pPr>
              <w:rPr>
                <w:b/>
                <w:bCs/>
              </w:rPr>
            </w:pPr>
            <w:r>
              <w:rPr>
                <w:b/>
                <w:bCs/>
              </w:rPr>
              <w:t xml:space="preserve">   </w:t>
            </w:r>
            <w:r w:rsidR="007D4B06">
              <w:rPr>
                <w:b/>
                <w:bCs/>
              </w:rPr>
              <w:t>567.262</w:t>
            </w:r>
          </w:p>
        </w:tc>
      </w:tr>
    </w:tbl>
    <w:p w:rsidR="00C13F68" w:rsidRPr="001143BB" w:rsidRDefault="00C13F68" w:rsidP="00C13F68">
      <w:pPr>
        <w:jc w:val="both"/>
        <w:rPr>
          <w:highlight w:val="yellow"/>
        </w:rPr>
      </w:pPr>
    </w:p>
    <w:p w:rsidR="00C13F68" w:rsidRPr="00F63785" w:rsidRDefault="0062021D" w:rsidP="00C13F68">
      <w:pPr>
        <w:jc w:val="both"/>
        <w:rPr>
          <w:highlight w:val="yellow"/>
        </w:rPr>
      </w:pPr>
      <w:r w:rsidRPr="00BF0506">
        <w:t>At 31</w:t>
      </w:r>
      <w:r w:rsidRPr="00BF0506">
        <w:rPr>
          <w:vertAlign w:val="superscript"/>
        </w:rPr>
        <w:t>st</w:t>
      </w:r>
      <w:r w:rsidRPr="00BF0506">
        <w:t xml:space="preserve"> March 201</w:t>
      </w:r>
      <w:r w:rsidR="009B6DA8" w:rsidRPr="00BF0506">
        <w:t>5</w:t>
      </w:r>
      <w:r w:rsidRPr="00BF0506">
        <w:t xml:space="preserve"> the</w:t>
      </w:r>
      <w:r w:rsidR="00C13F68" w:rsidRPr="00BF0506">
        <w:t xml:space="preserve"> </w:t>
      </w:r>
      <w:r w:rsidR="009B6DA8" w:rsidRPr="00BF0506">
        <w:t>C</w:t>
      </w:r>
      <w:r w:rsidR="00F25AD0" w:rsidRPr="00BF0506">
        <w:t xml:space="preserve">ounty </w:t>
      </w:r>
      <w:r w:rsidR="009B6DA8" w:rsidRPr="00BF0506">
        <w:t>C</w:t>
      </w:r>
      <w:r w:rsidR="00F25AD0" w:rsidRPr="00BF0506">
        <w:t>ouncil</w:t>
      </w:r>
      <w:r w:rsidR="00C13F68" w:rsidRPr="00BF0506">
        <w:t xml:space="preserve"> h</w:t>
      </w:r>
      <w:r w:rsidRPr="00BF0506">
        <w:t>e</w:t>
      </w:r>
      <w:r w:rsidR="00C13F68" w:rsidRPr="00BF0506">
        <w:t xml:space="preserve">ld </w:t>
      </w:r>
      <w:r w:rsidR="00020C9B" w:rsidRPr="00BF0506">
        <w:t>£</w:t>
      </w:r>
      <w:r w:rsidR="009B6DA8">
        <w:t>1.036bn</w:t>
      </w:r>
      <w:r w:rsidR="00C13F68" w:rsidRPr="00BF0506">
        <w:t xml:space="preserve"> of </w:t>
      </w:r>
      <w:r w:rsidR="00F02F61" w:rsidRPr="00BF0506">
        <w:t xml:space="preserve">short and </w:t>
      </w:r>
      <w:r w:rsidR="00C13F68" w:rsidRPr="00BF0506">
        <w:t>long-term loans</w:t>
      </w:r>
      <w:r w:rsidRPr="00BF0506">
        <w:t xml:space="preserve"> </w:t>
      </w:r>
      <w:r w:rsidR="00C13F68" w:rsidRPr="00BF0506">
        <w:t xml:space="preserve">as part of its strategy for funding previous years’ capital programmes.  The </w:t>
      </w:r>
      <w:r w:rsidR="009B6DA8" w:rsidRPr="00BF0506">
        <w:t>C</w:t>
      </w:r>
      <w:r w:rsidR="00F25AD0" w:rsidRPr="00BF0506">
        <w:t xml:space="preserve">ounty </w:t>
      </w:r>
      <w:r w:rsidR="009B6DA8" w:rsidRPr="00BF0506">
        <w:t>C</w:t>
      </w:r>
      <w:r w:rsidR="00C13F68" w:rsidRPr="00BF0506">
        <w:t xml:space="preserve">ouncil’s </w:t>
      </w:r>
      <w:r w:rsidR="009E6793" w:rsidRPr="00BF0506">
        <w:t>borrowing</w:t>
      </w:r>
      <w:r w:rsidR="00C13F68" w:rsidRPr="00BF0506">
        <w:t xml:space="preserve"> requirement as at 31</w:t>
      </w:r>
      <w:r w:rsidR="00C13F68" w:rsidRPr="00BF0506">
        <w:rPr>
          <w:vertAlign w:val="superscript"/>
        </w:rPr>
        <w:t>st</w:t>
      </w:r>
      <w:r w:rsidR="00256318" w:rsidRPr="00BF0506">
        <w:t xml:space="preserve"> March 201</w:t>
      </w:r>
      <w:r w:rsidR="009B6DA8" w:rsidRPr="00BF0506">
        <w:t>6</w:t>
      </w:r>
      <w:r w:rsidR="00C13F68" w:rsidRPr="00BF0506">
        <w:t xml:space="preserve"> </w:t>
      </w:r>
      <w:r w:rsidR="009B6DA8">
        <w:t xml:space="preserve">including short term renewals </w:t>
      </w:r>
      <w:r w:rsidR="00C13F68" w:rsidRPr="00BF0506">
        <w:t xml:space="preserve">is expected to be </w:t>
      </w:r>
      <w:r w:rsidR="00FB32C8" w:rsidRPr="00BF0506">
        <w:rPr>
          <w:lang w:eastAsia="en-US"/>
        </w:rPr>
        <w:t>£</w:t>
      </w:r>
      <w:r w:rsidR="003A2878">
        <w:rPr>
          <w:lang w:eastAsia="en-US"/>
        </w:rPr>
        <w:t>619.089</w:t>
      </w:r>
      <w:r w:rsidR="00C13F68" w:rsidRPr="00BF0506">
        <w:t>million,</w:t>
      </w:r>
      <w:r w:rsidR="00FB0846" w:rsidRPr="00BF0506">
        <w:t xml:space="preserve"> </w:t>
      </w:r>
      <w:r w:rsidR="00865698">
        <w:t xml:space="preserve">and </w:t>
      </w:r>
      <w:r w:rsidR="00FB0846" w:rsidRPr="00BF0506">
        <w:t>is</w:t>
      </w:r>
      <w:r w:rsidR="00C13F68" w:rsidRPr="00BF0506">
        <w:t xml:space="preserve"> forecast to </w:t>
      </w:r>
      <w:r w:rsidR="003A2878">
        <w:t>fall</w:t>
      </w:r>
      <w:r w:rsidR="00C13F68" w:rsidRPr="00BF0506">
        <w:t xml:space="preserve"> to </w:t>
      </w:r>
      <w:r w:rsidR="00FB32C8" w:rsidRPr="00BF0506">
        <w:rPr>
          <w:lang w:eastAsia="en-US"/>
        </w:rPr>
        <w:t>£</w:t>
      </w:r>
      <w:r w:rsidR="003A2878">
        <w:rPr>
          <w:lang w:eastAsia="en-US"/>
        </w:rPr>
        <w:t>567.262</w:t>
      </w:r>
      <w:r w:rsidR="00256318" w:rsidRPr="00BF0506">
        <w:t>m</w:t>
      </w:r>
      <w:r w:rsidR="00FD2EAA" w:rsidRPr="00BF0506">
        <w:t>illion</w:t>
      </w:r>
      <w:r w:rsidR="00256318" w:rsidRPr="00BF0506">
        <w:t xml:space="preserve"> by March 201</w:t>
      </w:r>
      <w:r w:rsidR="003A2878">
        <w:t>9</w:t>
      </w:r>
      <w:r w:rsidR="00C13F68" w:rsidRPr="00BF0506">
        <w:t xml:space="preserve"> </w:t>
      </w:r>
      <w:r w:rsidR="003A2878">
        <w:t xml:space="preserve">assuming the current debt portfolio will </w:t>
      </w:r>
      <w:r w:rsidR="00865698">
        <w:t xml:space="preserve">need to </w:t>
      </w:r>
      <w:r w:rsidR="003A2878">
        <w:t>be renewed</w:t>
      </w:r>
      <w:r w:rsidR="00C13F68" w:rsidRPr="00BF0506">
        <w:t xml:space="preserve">. In addition, the </w:t>
      </w:r>
      <w:r w:rsidR="009B6DA8" w:rsidRPr="00BF0506">
        <w:t>C</w:t>
      </w:r>
      <w:r w:rsidR="00F25AD0" w:rsidRPr="00BF0506">
        <w:t xml:space="preserve">ounty </w:t>
      </w:r>
      <w:r w:rsidR="009B6DA8" w:rsidRPr="00BF0506">
        <w:t xml:space="preserve">Council </w:t>
      </w:r>
      <w:r w:rsidR="00C13F68" w:rsidRPr="00BF0506">
        <w:t>may borrow for short periods of time to cover unexpected cash flow shortages.</w:t>
      </w:r>
    </w:p>
    <w:p w:rsidR="005741FA" w:rsidRPr="00F63785" w:rsidRDefault="005741FA" w:rsidP="00C13F68">
      <w:pPr>
        <w:jc w:val="both"/>
        <w:rPr>
          <w:highlight w:val="yellow"/>
        </w:rPr>
      </w:pPr>
    </w:p>
    <w:p w:rsidR="008503CE" w:rsidRPr="00BF0506" w:rsidRDefault="005741FA" w:rsidP="00BF0506">
      <w:pPr>
        <w:pStyle w:val="ListParagraph"/>
        <w:ind w:left="0"/>
        <w:jc w:val="both"/>
      </w:pPr>
      <w:r w:rsidRPr="00BF0506">
        <w:t xml:space="preserve">The </w:t>
      </w:r>
      <w:r w:rsidR="009B6DA8" w:rsidRPr="00BF0506">
        <w:t xml:space="preserve">County Council's </w:t>
      </w:r>
      <w:r w:rsidRPr="00BF0506">
        <w:t xml:space="preserve">borrowing position over the coming years </w:t>
      </w:r>
      <w:r w:rsidR="009B6DA8">
        <w:t>includes t</w:t>
      </w:r>
      <w:r w:rsidRPr="00BF0506">
        <w:t xml:space="preserve">he need to provide cash flow support for the Preston, South Ribble and Lancashire City Deal to cover the gap between the construction of infrastructure and the payment over of contributions from other organisations including the Government and developers. </w:t>
      </w:r>
      <w:r w:rsidR="0005560E">
        <w:t xml:space="preserve">It is estimated that some £28m of borrowing will be required in 2016/17. </w:t>
      </w:r>
      <w:r w:rsidRPr="00BF0506">
        <w:t>This borrowing is temporary.</w:t>
      </w:r>
    </w:p>
    <w:p w:rsidR="008503CE" w:rsidRPr="00BF0506" w:rsidRDefault="008503CE">
      <w:pPr>
        <w:pStyle w:val="ListParagraph"/>
        <w:jc w:val="both"/>
      </w:pPr>
    </w:p>
    <w:p w:rsidR="00E55677" w:rsidRPr="00932EE8" w:rsidRDefault="0040630B" w:rsidP="00D07A73">
      <w:pPr>
        <w:spacing w:after="240"/>
        <w:jc w:val="both"/>
      </w:pPr>
      <w:r w:rsidRPr="00234C32">
        <w:t>There are a range of options available for the borrowing strategy in</w:t>
      </w:r>
      <w:r w:rsidR="00D07A73" w:rsidRPr="00234C32">
        <w:t xml:space="preserve"> </w:t>
      </w:r>
      <w:r w:rsidR="00F4760B" w:rsidRPr="00234C32">
        <w:t>201</w:t>
      </w:r>
      <w:r w:rsidR="00234C32">
        <w:t>6</w:t>
      </w:r>
      <w:r w:rsidR="00D07A73" w:rsidRPr="00234C32">
        <w:t>/</w:t>
      </w:r>
      <w:r w:rsidR="00F4760B" w:rsidRPr="00234C32">
        <w:t>1</w:t>
      </w:r>
      <w:r w:rsidR="00234C32" w:rsidRPr="00234C32">
        <w:t>7</w:t>
      </w:r>
      <w:r w:rsidR="00D07A73" w:rsidRPr="00234C32">
        <w:t>.</w:t>
      </w:r>
      <w:r w:rsidRPr="00932EE8">
        <w:t xml:space="preserve"> </w:t>
      </w:r>
    </w:p>
    <w:p w:rsidR="00E55677" w:rsidRPr="00932EE8" w:rsidRDefault="0040630B" w:rsidP="00574AC0">
      <w:pPr>
        <w:pStyle w:val="ListParagraph"/>
        <w:numPr>
          <w:ilvl w:val="0"/>
          <w:numId w:val="7"/>
        </w:numPr>
        <w:spacing w:after="240"/>
        <w:jc w:val="both"/>
      </w:pPr>
      <w:r w:rsidRPr="00932EE8">
        <w:t xml:space="preserve">Variable rate borrowing is expected to be cheaper than fixed rate long term borrowing and will be attractive during the financial year, particularly as variable rates are closely linked to bank rates. </w:t>
      </w:r>
    </w:p>
    <w:p w:rsidR="0079483B" w:rsidRDefault="0040630B" w:rsidP="00F861B8">
      <w:pPr>
        <w:pStyle w:val="ListParagraph"/>
        <w:numPr>
          <w:ilvl w:val="0"/>
          <w:numId w:val="7"/>
        </w:numPr>
        <w:spacing w:after="240"/>
        <w:jc w:val="both"/>
      </w:pPr>
      <w:r w:rsidRPr="00932EE8">
        <w:t>Under 10 year</w:t>
      </w:r>
      <w:r w:rsidR="00D07A73" w:rsidRPr="00932EE8">
        <w:t>s</w:t>
      </w:r>
      <w:r w:rsidRPr="00932EE8">
        <w:t xml:space="preserve"> rates are expected to be substantially lower than long term rates, so this opens up a range of choices that may allow the </w:t>
      </w:r>
      <w:r w:rsidR="00F63785">
        <w:t>C</w:t>
      </w:r>
      <w:r w:rsidR="00F25AD0">
        <w:t xml:space="preserve">ounty </w:t>
      </w:r>
      <w:r w:rsidR="00F63785">
        <w:t>C</w:t>
      </w:r>
      <w:r w:rsidR="00F25AD0">
        <w:t>ouncil</w:t>
      </w:r>
      <w:r w:rsidRPr="00932EE8">
        <w:t xml:space="preserve"> to spread maturities away from concentration on long dated debt.</w:t>
      </w:r>
    </w:p>
    <w:p w:rsidR="00234C32" w:rsidRPr="00BF0506" w:rsidRDefault="00234C32" w:rsidP="00F861B8">
      <w:pPr>
        <w:pStyle w:val="ListParagraph"/>
        <w:numPr>
          <w:ilvl w:val="0"/>
          <w:numId w:val="7"/>
        </w:numPr>
        <w:spacing w:after="240"/>
        <w:jc w:val="both"/>
      </w:pPr>
      <w:r w:rsidRPr="00BF0506">
        <w:t>Although it is not felt best pricing can be achieved at the present time through issuance under the County C</w:t>
      </w:r>
      <w:r w:rsidR="00F25AD0" w:rsidRPr="00BF0506">
        <w:t>ouncil</w:t>
      </w:r>
      <w:r w:rsidRPr="00BF0506">
        <w:t>'s</w:t>
      </w:r>
      <w:r w:rsidR="0079483B" w:rsidRPr="00BF0506">
        <w:t xml:space="preserve"> </w:t>
      </w:r>
      <w:r w:rsidR="006C208A" w:rsidRPr="00BF0506">
        <w:t>e</w:t>
      </w:r>
      <w:r w:rsidR="0079483B" w:rsidRPr="00BF0506">
        <w:t xml:space="preserve">uro </w:t>
      </w:r>
      <w:r w:rsidR="006C208A" w:rsidRPr="00BF0506">
        <w:t>m</w:t>
      </w:r>
      <w:r w:rsidR="0079483B" w:rsidRPr="00BF0506">
        <w:t xml:space="preserve">edium </w:t>
      </w:r>
      <w:r w:rsidR="006C208A" w:rsidRPr="00BF0506">
        <w:t>t</w:t>
      </w:r>
      <w:r w:rsidR="0079483B" w:rsidRPr="00BF0506">
        <w:t xml:space="preserve">erm </w:t>
      </w:r>
      <w:r w:rsidR="006C208A" w:rsidRPr="00BF0506">
        <w:t>n</w:t>
      </w:r>
      <w:r w:rsidR="0079483B" w:rsidRPr="00BF0506">
        <w:t xml:space="preserve">ote </w:t>
      </w:r>
      <w:r w:rsidR="006C208A" w:rsidRPr="00BF0506">
        <w:t>p</w:t>
      </w:r>
      <w:r w:rsidR="0079483B" w:rsidRPr="00BF0506">
        <w:t>rogramme (EMTN)</w:t>
      </w:r>
      <w:r w:rsidR="00AA245E" w:rsidRPr="00BF0506">
        <w:t>,</w:t>
      </w:r>
      <w:r w:rsidRPr="00BF0506">
        <w:t xml:space="preserve"> a </w:t>
      </w:r>
      <w:r w:rsidR="006C208A" w:rsidRPr="00BF0506">
        <w:t>c</w:t>
      </w:r>
      <w:r w:rsidRPr="00BF0506">
        <w:t xml:space="preserve">ommercial </w:t>
      </w:r>
      <w:r w:rsidR="006C208A" w:rsidRPr="00BF0506">
        <w:t>p</w:t>
      </w:r>
      <w:r w:rsidRPr="00BF0506">
        <w:t xml:space="preserve">aper </w:t>
      </w:r>
      <w:r w:rsidR="006C208A" w:rsidRPr="00BF0506">
        <w:t>i</w:t>
      </w:r>
      <w:r w:rsidRPr="00BF0506">
        <w:t xml:space="preserve">ssue </w:t>
      </w:r>
      <w:r w:rsidR="006C208A" w:rsidRPr="00BF0506">
        <w:t>which has a</w:t>
      </w:r>
      <w:r w:rsidRPr="00BF0506">
        <w:t xml:space="preserve"> </w:t>
      </w:r>
      <w:r w:rsidR="006C208A" w:rsidRPr="00BF0506">
        <w:t xml:space="preserve">much shorter maturity, typically 270 days, </w:t>
      </w:r>
      <w:r w:rsidRPr="00BF0506">
        <w:t>may be appropriate.</w:t>
      </w:r>
    </w:p>
    <w:p w:rsidR="00D86663" w:rsidRDefault="006C208A" w:rsidP="00D86663">
      <w:pPr>
        <w:pStyle w:val="ListParagraph"/>
        <w:numPr>
          <w:ilvl w:val="0"/>
          <w:numId w:val="7"/>
        </w:numPr>
        <w:spacing w:after="240"/>
        <w:ind w:left="709" w:hanging="283"/>
        <w:jc w:val="both"/>
      </w:pPr>
      <w:r w:rsidRPr="00BF0506">
        <w:t>A</w:t>
      </w:r>
      <w:r w:rsidR="00234C32" w:rsidRPr="00BF0506">
        <w:t xml:space="preserve">pproval </w:t>
      </w:r>
      <w:r w:rsidRPr="00BF0506">
        <w:t xml:space="preserve">is also being considered </w:t>
      </w:r>
      <w:r w:rsidR="00234C32" w:rsidRPr="00BF0506">
        <w:t>to add the</w:t>
      </w:r>
      <w:r w:rsidR="0079483B" w:rsidRPr="00BF0506">
        <w:t xml:space="preserve"> LGA's Municipal Bond Agency </w:t>
      </w:r>
      <w:r w:rsidR="00234C32" w:rsidRPr="00BF0506">
        <w:t xml:space="preserve">to the County Council's list of approved borrowing counterparties </w:t>
      </w:r>
    </w:p>
    <w:p w:rsidR="0040630B" w:rsidRPr="00932EE8" w:rsidRDefault="0040630B" w:rsidP="00D86663">
      <w:pPr>
        <w:spacing w:after="240"/>
        <w:jc w:val="both"/>
      </w:pPr>
      <w:r w:rsidRPr="00BF0506">
        <w:lastRenderedPageBreak/>
        <w:t xml:space="preserve">Against this background, the </w:t>
      </w:r>
      <w:r w:rsidR="00CF5E98" w:rsidRPr="00BF0506">
        <w:t>section 151 officer</w:t>
      </w:r>
      <w:r w:rsidRPr="00BF0506">
        <w:t xml:space="preserve"> will, in conjunction with the </w:t>
      </w:r>
      <w:r w:rsidR="00F63785" w:rsidRPr="00BF0506">
        <w:t>C</w:t>
      </w:r>
      <w:r w:rsidR="00F25AD0" w:rsidRPr="00BF0506">
        <w:t xml:space="preserve">ounty </w:t>
      </w:r>
      <w:r w:rsidR="00F63785" w:rsidRPr="00BF0506">
        <w:t>C</w:t>
      </w:r>
      <w:r w:rsidR="00F25AD0" w:rsidRPr="00BF0506">
        <w:t>ouncil</w:t>
      </w:r>
      <w:r w:rsidRPr="00BF0506">
        <w:t>'s advis</w:t>
      </w:r>
      <w:r w:rsidR="00003932" w:rsidRPr="00BF0506">
        <w:t>o</w:t>
      </w:r>
      <w:r w:rsidRPr="00BF0506">
        <w:t xml:space="preserve">rs, monitor the interest rate situation closely and will adopt a pragmatic approach to </w:t>
      </w:r>
      <w:r w:rsidR="00974CAE" w:rsidRPr="00BF0506">
        <w:t xml:space="preserve">delivering the objectives of this strategy within </w:t>
      </w:r>
      <w:r w:rsidRPr="00BF0506">
        <w:t xml:space="preserve">changing </w:t>
      </w:r>
      <w:r w:rsidR="00974CAE" w:rsidRPr="00BF0506">
        <w:t xml:space="preserve">economic </w:t>
      </w:r>
      <w:r w:rsidR="00F63785" w:rsidRPr="00BF0506">
        <w:t xml:space="preserve">circumstances. </w:t>
      </w:r>
      <w:proofErr w:type="spellStart"/>
      <w:r w:rsidR="008C5ECF" w:rsidRPr="00D86663">
        <w:rPr>
          <w:bCs/>
        </w:rPr>
        <w:t>Arlingclose</w:t>
      </w:r>
      <w:proofErr w:type="spellEnd"/>
      <w:r w:rsidR="008C5ECF" w:rsidRPr="00D86663">
        <w:rPr>
          <w:bCs/>
        </w:rPr>
        <w:t xml:space="preserve"> forecast the first rise in official interest rates in Q</w:t>
      </w:r>
      <w:r w:rsidR="006C208A" w:rsidRPr="00D86663">
        <w:rPr>
          <w:bCs/>
        </w:rPr>
        <w:t>3</w:t>
      </w:r>
      <w:r w:rsidR="008C5ECF" w:rsidRPr="00D86663">
        <w:rPr>
          <w:bCs/>
        </w:rPr>
        <w:t xml:space="preserve"> 201</w:t>
      </w:r>
      <w:r w:rsidR="006C208A" w:rsidRPr="00D86663">
        <w:rPr>
          <w:bCs/>
        </w:rPr>
        <w:t>6 and</w:t>
      </w:r>
      <w:r w:rsidR="0003446E" w:rsidRPr="00D86663">
        <w:rPr>
          <w:bCs/>
        </w:rPr>
        <w:t xml:space="preserve"> </w:t>
      </w:r>
      <w:r w:rsidRPr="00BF0506">
        <w:t>careful monitoring will ensure that borrowing is taken at the most appropriate time.</w:t>
      </w:r>
      <w:r w:rsidR="00E21386" w:rsidRPr="00BF0506">
        <w:t xml:space="preserve">  The table above reflects this forecasted rise and the fixing of £</w:t>
      </w:r>
      <w:r w:rsidR="006C208A" w:rsidRPr="00BF0506">
        <w:t xml:space="preserve">100m </w:t>
      </w:r>
      <w:r w:rsidR="00E21386" w:rsidRPr="00BF0506">
        <w:t>of the short term debt in 201</w:t>
      </w:r>
      <w:r w:rsidR="006C208A" w:rsidRPr="00BF0506">
        <w:t>6</w:t>
      </w:r>
      <w:r w:rsidR="00E21386" w:rsidRPr="00BF0506">
        <w:t>/1</w:t>
      </w:r>
      <w:r w:rsidR="006C208A" w:rsidRPr="00BF0506">
        <w:t>7</w:t>
      </w:r>
      <w:r w:rsidR="00E21386" w:rsidRPr="00BF0506">
        <w:t>.</w:t>
      </w:r>
    </w:p>
    <w:p w:rsidR="0040630B" w:rsidRPr="00932EE8" w:rsidRDefault="00D07A73" w:rsidP="00D635B5">
      <w:pPr>
        <w:spacing w:after="240"/>
        <w:jc w:val="both"/>
      </w:pPr>
      <w:r w:rsidRPr="00932EE8">
        <w:t xml:space="preserve">All decisions on whether to undertake new </w:t>
      </w:r>
      <w:r w:rsidR="0082655F" w:rsidRPr="00932EE8">
        <w:t>or replacement</w:t>
      </w:r>
      <w:r w:rsidRPr="00932EE8">
        <w:t xml:space="preserve"> borrowing to support previous or future capital investment will be subject to evaluation against the following criteria:</w:t>
      </w:r>
    </w:p>
    <w:p w:rsidR="00D07A73" w:rsidRPr="00932EE8" w:rsidRDefault="00D07A73" w:rsidP="00D635B5">
      <w:pPr>
        <w:pStyle w:val="ListParagraph"/>
        <w:numPr>
          <w:ilvl w:val="0"/>
          <w:numId w:val="1"/>
        </w:numPr>
        <w:spacing w:after="240"/>
        <w:jc w:val="both"/>
      </w:pPr>
      <w:r w:rsidRPr="00932EE8">
        <w:t>Overall need, whether a borrowing requirement to fund the capital programme or previous capital investment exists;</w:t>
      </w:r>
    </w:p>
    <w:p w:rsidR="00D07A73" w:rsidRPr="00932EE8" w:rsidRDefault="00D07A73" w:rsidP="00D635B5">
      <w:pPr>
        <w:pStyle w:val="ListParagraph"/>
        <w:numPr>
          <w:ilvl w:val="0"/>
          <w:numId w:val="1"/>
        </w:numPr>
        <w:spacing w:after="240"/>
        <w:jc w:val="both"/>
      </w:pPr>
      <w:r w:rsidRPr="00932EE8">
        <w:t>Timing, when such a borrowing requirement might exist given the overall strategy for financing capital investment, and previous capital spending performance;</w:t>
      </w:r>
    </w:p>
    <w:p w:rsidR="00D07A73" w:rsidRPr="00932EE8" w:rsidRDefault="00D07A73" w:rsidP="00D635B5">
      <w:pPr>
        <w:pStyle w:val="ListParagraph"/>
        <w:numPr>
          <w:ilvl w:val="0"/>
          <w:numId w:val="1"/>
        </w:numPr>
        <w:spacing w:after="240"/>
        <w:jc w:val="both"/>
      </w:pPr>
      <w:r w:rsidRPr="00932EE8">
        <w:t>Market conditions</w:t>
      </w:r>
      <w:r w:rsidR="00FC67A8" w:rsidRPr="00932EE8">
        <w:t xml:space="preserve">, </w:t>
      </w:r>
      <w:r w:rsidR="006971B7" w:rsidRPr="00932EE8">
        <w:t xml:space="preserve">to </w:t>
      </w:r>
      <w:r w:rsidRPr="00932EE8">
        <w:t>ensur</w:t>
      </w:r>
      <w:r w:rsidR="00FC67A8" w:rsidRPr="00932EE8">
        <w:t>e</w:t>
      </w:r>
      <w:r w:rsidRPr="00932EE8">
        <w:t xml:space="preserve"> borrowing that does need to be underta</w:t>
      </w:r>
      <w:r w:rsidR="00FC67A8" w:rsidRPr="00932EE8">
        <w:t>ken is achieved at minimum cost, including a comparison between internal and externally financed borrowing.</w:t>
      </w:r>
    </w:p>
    <w:p w:rsidR="00D07A73" w:rsidRPr="00932EE8" w:rsidRDefault="00D07A73" w:rsidP="00D635B5">
      <w:pPr>
        <w:pStyle w:val="ListParagraph"/>
        <w:numPr>
          <w:ilvl w:val="0"/>
          <w:numId w:val="1"/>
        </w:numPr>
        <w:spacing w:after="240"/>
        <w:jc w:val="both"/>
      </w:pPr>
      <w:r w:rsidRPr="00932EE8">
        <w:t>Scale</w:t>
      </w:r>
      <w:r w:rsidR="00FC67A8" w:rsidRPr="00932EE8">
        <w:t xml:space="preserve">, to </w:t>
      </w:r>
      <w:r w:rsidRPr="00932EE8">
        <w:t>ensur</w:t>
      </w:r>
      <w:r w:rsidR="00FC67A8" w:rsidRPr="00932EE8">
        <w:t>e</w:t>
      </w:r>
      <w:r w:rsidRPr="00932EE8">
        <w:t xml:space="preserve"> borrowing is undertaken on a scale commensurate with the agreed financing route.</w:t>
      </w:r>
    </w:p>
    <w:p w:rsidR="00D07A73" w:rsidRDefault="00D07A73" w:rsidP="00D635B5">
      <w:pPr>
        <w:spacing w:after="240"/>
        <w:jc w:val="both"/>
      </w:pPr>
      <w:r w:rsidRPr="00932EE8">
        <w:t xml:space="preserve">All </w:t>
      </w:r>
      <w:r w:rsidR="00E31179" w:rsidRPr="00932EE8">
        <w:t xml:space="preserve">long term </w:t>
      </w:r>
      <w:r w:rsidRPr="00932EE8">
        <w:t>decisions will be documented reflecting the assessment of these criteria.</w:t>
      </w:r>
    </w:p>
    <w:p w:rsidR="00E21386" w:rsidRPr="00F861B8" w:rsidRDefault="00E21386" w:rsidP="00D635B5">
      <w:pPr>
        <w:spacing w:after="240"/>
        <w:jc w:val="both"/>
        <w:rPr>
          <w:color w:val="000000" w:themeColor="text1"/>
        </w:rPr>
      </w:pPr>
      <w:r w:rsidRPr="00932EE8">
        <w:t xml:space="preserve">The table below is an estimate of the relationship between the borrowing capital financing requirement and total borrowing during the current year and over the next three years. </w:t>
      </w:r>
      <w:r w:rsidRPr="00F861B8">
        <w:rPr>
          <w:color w:val="000000" w:themeColor="text1"/>
        </w:rPr>
        <w:t xml:space="preserve">The shared investment scheme is assumed to </w:t>
      </w:r>
      <w:r w:rsidRPr="00251E91">
        <w:rPr>
          <w:color w:val="000000" w:themeColor="text1"/>
        </w:rPr>
        <w:t>contribute £1</w:t>
      </w:r>
      <w:r w:rsidR="00251E91" w:rsidRPr="00251E91">
        <w:rPr>
          <w:color w:val="000000" w:themeColor="text1"/>
        </w:rPr>
        <w:t>2</w:t>
      </w:r>
      <w:r w:rsidRPr="00251E91">
        <w:rPr>
          <w:color w:val="000000" w:themeColor="text1"/>
        </w:rPr>
        <w:t>0m to</w:t>
      </w:r>
      <w:r w:rsidRPr="00F861B8">
        <w:rPr>
          <w:color w:val="000000" w:themeColor="text1"/>
        </w:rPr>
        <w:t xml:space="preserve"> the borrowing total. The operation of the scheme is reviewed annually, but this table assumes it will operate for the next three years and shows the position if take-up reaches the limits of the scheme.  </w:t>
      </w:r>
    </w:p>
    <w:tbl>
      <w:tblPr>
        <w:tblW w:w="7729" w:type="dxa"/>
        <w:tblInd w:w="4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4"/>
        <w:gridCol w:w="1284"/>
        <w:gridCol w:w="1418"/>
        <w:gridCol w:w="1418"/>
        <w:gridCol w:w="1405"/>
      </w:tblGrid>
      <w:tr w:rsidR="00E21386" w:rsidRPr="00251E91" w:rsidTr="00CF6B9E">
        <w:tc>
          <w:tcPr>
            <w:tcW w:w="2204" w:type="dxa"/>
            <w:tcBorders>
              <w:top w:val="single" w:sz="4" w:space="0" w:color="auto"/>
            </w:tcBorders>
          </w:tcPr>
          <w:p w:rsidR="00E21386" w:rsidRPr="005B473A" w:rsidRDefault="00E21386" w:rsidP="00CF6B9E"/>
        </w:tc>
        <w:tc>
          <w:tcPr>
            <w:tcW w:w="1284" w:type="dxa"/>
            <w:tcBorders>
              <w:top w:val="single" w:sz="4" w:space="0" w:color="auto"/>
            </w:tcBorders>
          </w:tcPr>
          <w:p w:rsidR="00E21386" w:rsidRPr="00251E91" w:rsidRDefault="00E21386" w:rsidP="00251E91">
            <w:pPr>
              <w:tabs>
                <w:tab w:val="left" w:pos="671"/>
              </w:tabs>
              <w:jc w:val="right"/>
              <w:rPr>
                <w:b/>
              </w:rPr>
            </w:pPr>
            <w:r w:rsidRPr="00251E91">
              <w:rPr>
                <w:b/>
              </w:rPr>
              <w:t>31 Mar 201</w:t>
            </w:r>
            <w:r w:rsidR="00251E91" w:rsidRPr="00251E91">
              <w:rPr>
                <w:b/>
              </w:rPr>
              <w:t>6</w:t>
            </w:r>
          </w:p>
        </w:tc>
        <w:tc>
          <w:tcPr>
            <w:tcW w:w="1418" w:type="dxa"/>
            <w:tcBorders>
              <w:top w:val="single" w:sz="4" w:space="0" w:color="auto"/>
            </w:tcBorders>
          </w:tcPr>
          <w:p w:rsidR="00E21386" w:rsidRPr="00251E91" w:rsidRDefault="00E21386" w:rsidP="00251E91">
            <w:pPr>
              <w:jc w:val="right"/>
              <w:rPr>
                <w:b/>
              </w:rPr>
            </w:pPr>
            <w:r w:rsidRPr="00251E91">
              <w:rPr>
                <w:b/>
              </w:rPr>
              <w:t>31 Mar 201</w:t>
            </w:r>
            <w:r w:rsidR="00251E91" w:rsidRPr="00251E91">
              <w:rPr>
                <w:b/>
              </w:rPr>
              <w:t>7</w:t>
            </w:r>
          </w:p>
        </w:tc>
        <w:tc>
          <w:tcPr>
            <w:tcW w:w="1418" w:type="dxa"/>
            <w:tcBorders>
              <w:top w:val="single" w:sz="4" w:space="0" w:color="auto"/>
            </w:tcBorders>
          </w:tcPr>
          <w:p w:rsidR="00E21386" w:rsidRPr="00251E91" w:rsidRDefault="00E21386" w:rsidP="00251E91">
            <w:pPr>
              <w:jc w:val="right"/>
              <w:rPr>
                <w:b/>
              </w:rPr>
            </w:pPr>
            <w:r w:rsidRPr="00251E91">
              <w:rPr>
                <w:b/>
              </w:rPr>
              <w:t>31 Mar 201</w:t>
            </w:r>
            <w:r w:rsidR="00251E91" w:rsidRPr="00251E91">
              <w:rPr>
                <w:b/>
              </w:rPr>
              <w:t>8</w:t>
            </w:r>
          </w:p>
        </w:tc>
        <w:tc>
          <w:tcPr>
            <w:tcW w:w="1405" w:type="dxa"/>
            <w:tcBorders>
              <w:top w:val="single" w:sz="4" w:space="0" w:color="auto"/>
            </w:tcBorders>
          </w:tcPr>
          <w:p w:rsidR="00E21386" w:rsidRPr="00251E91" w:rsidRDefault="00E21386" w:rsidP="00251E91">
            <w:pPr>
              <w:ind w:right="-13"/>
              <w:jc w:val="right"/>
              <w:rPr>
                <w:b/>
              </w:rPr>
            </w:pPr>
            <w:r w:rsidRPr="00251E91">
              <w:rPr>
                <w:b/>
              </w:rPr>
              <w:t>31 Mar 201</w:t>
            </w:r>
            <w:r w:rsidR="00251E91" w:rsidRPr="00251E91">
              <w:rPr>
                <w:b/>
              </w:rPr>
              <w:t>9</w:t>
            </w:r>
          </w:p>
        </w:tc>
      </w:tr>
      <w:tr w:rsidR="00E21386" w:rsidRPr="00251E91" w:rsidTr="00CF6B9E">
        <w:tc>
          <w:tcPr>
            <w:tcW w:w="2204" w:type="dxa"/>
          </w:tcPr>
          <w:p w:rsidR="00E21386" w:rsidRPr="005B473A" w:rsidRDefault="00E21386" w:rsidP="00CF6B9E">
            <w:pPr>
              <w:rPr>
                <w:b/>
              </w:rPr>
            </w:pPr>
            <w:r w:rsidRPr="005B473A">
              <w:rPr>
                <w:b/>
              </w:rPr>
              <w:t xml:space="preserve"> </w:t>
            </w:r>
          </w:p>
        </w:tc>
        <w:tc>
          <w:tcPr>
            <w:tcW w:w="1284" w:type="dxa"/>
          </w:tcPr>
          <w:p w:rsidR="00E21386" w:rsidRPr="00251E91" w:rsidRDefault="00E21386" w:rsidP="00CF6B9E">
            <w:pPr>
              <w:tabs>
                <w:tab w:val="left" w:pos="671"/>
              </w:tabs>
              <w:jc w:val="center"/>
              <w:rPr>
                <w:b/>
              </w:rPr>
            </w:pPr>
            <w:r w:rsidRPr="00251E91">
              <w:rPr>
                <w:b/>
              </w:rPr>
              <w:t xml:space="preserve">        £m</w:t>
            </w:r>
          </w:p>
        </w:tc>
        <w:tc>
          <w:tcPr>
            <w:tcW w:w="1418" w:type="dxa"/>
          </w:tcPr>
          <w:p w:rsidR="00E21386" w:rsidRPr="00251E91" w:rsidRDefault="00E21386" w:rsidP="00CF6B9E">
            <w:pPr>
              <w:jc w:val="center"/>
              <w:rPr>
                <w:b/>
              </w:rPr>
            </w:pPr>
            <w:r w:rsidRPr="00251E91">
              <w:rPr>
                <w:b/>
              </w:rPr>
              <w:t xml:space="preserve">       </w:t>
            </w:r>
            <w:r w:rsidR="00251E91" w:rsidRPr="00251E91">
              <w:rPr>
                <w:b/>
              </w:rPr>
              <w:t xml:space="preserve">   </w:t>
            </w:r>
            <w:r w:rsidRPr="00251E91">
              <w:rPr>
                <w:b/>
              </w:rPr>
              <w:t xml:space="preserve"> £m</w:t>
            </w:r>
          </w:p>
        </w:tc>
        <w:tc>
          <w:tcPr>
            <w:tcW w:w="1418" w:type="dxa"/>
          </w:tcPr>
          <w:p w:rsidR="00E21386" w:rsidRPr="00251E91" w:rsidRDefault="00E21386" w:rsidP="00CF6B9E">
            <w:pPr>
              <w:jc w:val="center"/>
              <w:rPr>
                <w:b/>
              </w:rPr>
            </w:pPr>
            <w:r w:rsidRPr="00251E91">
              <w:rPr>
                <w:b/>
              </w:rPr>
              <w:t xml:space="preserve">    </w:t>
            </w:r>
            <w:r w:rsidR="00251E91" w:rsidRPr="00251E91">
              <w:rPr>
                <w:b/>
              </w:rPr>
              <w:t xml:space="preserve">     </w:t>
            </w:r>
            <w:r w:rsidRPr="00251E91">
              <w:rPr>
                <w:b/>
              </w:rPr>
              <w:t xml:space="preserve"> £m</w:t>
            </w:r>
          </w:p>
        </w:tc>
        <w:tc>
          <w:tcPr>
            <w:tcW w:w="1405" w:type="dxa"/>
          </w:tcPr>
          <w:p w:rsidR="00E21386" w:rsidRPr="00251E91" w:rsidRDefault="00E21386" w:rsidP="00CF6B9E">
            <w:pPr>
              <w:ind w:right="-13"/>
              <w:jc w:val="center"/>
              <w:rPr>
                <w:b/>
              </w:rPr>
            </w:pPr>
            <w:r w:rsidRPr="00251E91">
              <w:rPr>
                <w:b/>
              </w:rPr>
              <w:t xml:space="preserve">   </w:t>
            </w:r>
            <w:r w:rsidR="00251E91" w:rsidRPr="00251E91">
              <w:rPr>
                <w:b/>
              </w:rPr>
              <w:t xml:space="preserve">   </w:t>
            </w:r>
            <w:r w:rsidRPr="00251E91">
              <w:rPr>
                <w:b/>
              </w:rPr>
              <w:t xml:space="preserve">   £m</w:t>
            </w:r>
          </w:p>
        </w:tc>
      </w:tr>
      <w:tr w:rsidR="00E21386" w:rsidRPr="00251E91" w:rsidTr="00CF6B9E">
        <w:tc>
          <w:tcPr>
            <w:tcW w:w="2204" w:type="dxa"/>
          </w:tcPr>
          <w:p w:rsidR="00E21386" w:rsidRPr="005B473A" w:rsidRDefault="00E21386" w:rsidP="00CF6B9E"/>
        </w:tc>
        <w:tc>
          <w:tcPr>
            <w:tcW w:w="1284" w:type="dxa"/>
          </w:tcPr>
          <w:p w:rsidR="00E21386" w:rsidRPr="00251E91" w:rsidRDefault="00E21386" w:rsidP="00CF6B9E">
            <w:pPr>
              <w:tabs>
                <w:tab w:val="left" w:pos="671"/>
              </w:tabs>
              <w:jc w:val="right"/>
            </w:pPr>
          </w:p>
        </w:tc>
        <w:tc>
          <w:tcPr>
            <w:tcW w:w="1418" w:type="dxa"/>
          </w:tcPr>
          <w:p w:rsidR="00E21386" w:rsidRPr="00251E91" w:rsidRDefault="00E21386" w:rsidP="00CF6B9E">
            <w:pPr>
              <w:jc w:val="right"/>
            </w:pPr>
          </w:p>
        </w:tc>
        <w:tc>
          <w:tcPr>
            <w:tcW w:w="1418" w:type="dxa"/>
          </w:tcPr>
          <w:p w:rsidR="00E21386" w:rsidRPr="00251E91" w:rsidRDefault="00E21386" w:rsidP="00CF6B9E">
            <w:pPr>
              <w:jc w:val="right"/>
            </w:pPr>
          </w:p>
        </w:tc>
        <w:tc>
          <w:tcPr>
            <w:tcW w:w="1405" w:type="dxa"/>
          </w:tcPr>
          <w:p w:rsidR="00E21386" w:rsidRPr="00251E91" w:rsidRDefault="00E21386" w:rsidP="00CF6B9E">
            <w:pPr>
              <w:ind w:right="-13"/>
              <w:jc w:val="right"/>
            </w:pPr>
          </w:p>
        </w:tc>
      </w:tr>
      <w:tr w:rsidR="00E21386" w:rsidRPr="005B473A" w:rsidTr="00CF6B9E">
        <w:tc>
          <w:tcPr>
            <w:tcW w:w="2204" w:type="dxa"/>
          </w:tcPr>
          <w:p w:rsidR="00E21386" w:rsidRPr="005B473A" w:rsidRDefault="00E21386" w:rsidP="00CF6B9E">
            <w:r w:rsidRPr="005B473A">
              <w:t>Capital Financing Requirement</w:t>
            </w:r>
          </w:p>
        </w:tc>
        <w:tc>
          <w:tcPr>
            <w:tcW w:w="1284" w:type="dxa"/>
          </w:tcPr>
          <w:p w:rsidR="00E21386" w:rsidRPr="00251E91" w:rsidRDefault="00E21386" w:rsidP="00CF6B9E">
            <w:pPr>
              <w:tabs>
                <w:tab w:val="left" w:pos="671"/>
              </w:tabs>
              <w:jc w:val="right"/>
            </w:pPr>
          </w:p>
          <w:p w:rsidR="00E21386" w:rsidRPr="00251E91" w:rsidRDefault="00251E91" w:rsidP="00CF6B9E">
            <w:pPr>
              <w:tabs>
                <w:tab w:val="left" w:pos="671"/>
              </w:tabs>
              <w:jc w:val="right"/>
            </w:pPr>
            <w:r w:rsidRPr="00251E91">
              <w:t>1,043</w:t>
            </w:r>
          </w:p>
        </w:tc>
        <w:tc>
          <w:tcPr>
            <w:tcW w:w="1418" w:type="dxa"/>
          </w:tcPr>
          <w:p w:rsidR="00E21386" w:rsidRPr="00251E91" w:rsidRDefault="00E21386" w:rsidP="00CF6B9E">
            <w:pPr>
              <w:jc w:val="right"/>
            </w:pPr>
          </w:p>
          <w:p w:rsidR="00E21386" w:rsidRPr="00251E91" w:rsidRDefault="00251E91" w:rsidP="00CF6B9E">
            <w:pPr>
              <w:jc w:val="right"/>
            </w:pPr>
            <w:r w:rsidRPr="00251E91">
              <w:t>1,061</w:t>
            </w:r>
          </w:p>
        </w:tc>
        <w:tc>
          <w:tcPr>
            <w:tcW w:w="1418" w:type="dxa"/>
          </w:tcPr>
          <w:p w:rsidR="00E21386" w:rsidRPr="00251E91" w:rsidRDefault="00E21386" w:rsidP="00CF6B9E">
            <w:pPr>
              <w:jc w:val="right"/>
            </w:pPr>
          </w:p>
          <w:p w:rsidR="00E21386" w:rsidRPr="00251E91" w:rsidRDefault="00E21386" w:rsidP="00251E91">
            <w:pPr>
              <w:jc w:val="right"/>
            </w:pPr>
            <w:r w:rsidRPr="00251E91">
              <w:t>1,0</w:t>
            </w:r>
            <w:r w:rsidR="00251E91" w:rsidRPr="00251E91">
              <w:t>46</w:t>
            </w:r>
          </w:p>
        </w:tc>
        <w:tc>
          <w:tcPr>
            <w:tcW w:w="1405" w:type="dxa"/>
          </w:tcPr>
          <w:p w:rsidR="00E21386" w:rsidRPr="00251E91" w:rsidRDefault="00E21386" w:rsidP="00CF6B9E">
            <w:pPr>
              <w:ind w:right="-13"/>
              <w:jc w:val="right"/>
            </w:pPr>
          </w:p>
          <w:p w:rsidR="00E21386" w:rsidRPr="00251E91" w:rsidRDefault="00E21386" w:rsidP="00251E91">
            <w:pPr>
              <w:ind w:right="-13"/>
              <w:jc w:val="right"/>
            </w:pPr>
            <w:r w:rsidRPr="00251E91">
              <w:t>103</w:t>
            </w:r>
            <w:r w:rsidR="00251E91" w:rsidRPr="00251E91">
              <w:t>5</w:t>
            </w:r>
          </w:p>
        </w:tc>
      </w:tr>
      <w:tr w:rsidR="00E21386" w:rsidRPr="005B473A" w:rsidTr="00CF6B9E">
        <w:tc>
          <w:tcPr>
            <w:tcW w:w="2204" w:type="dxa"/>
          </w:tcPr>
          <w:p w:rsidR="00E21386" w:rsidRPr="005B473A" w:rsidRDefault="00E21386" w:rsidP="00CF6B9E">
            <w:r w:rsidRPr="005B473A">
              <w:t>Less PFI liability</w:t>
            </w:r>
          </w:p>
        </w:tc>
        <w:tc>
          <w:tcPr>
            <w:tcW w:w="1284" w:type="dxa"/>
          </w:tcPr>
          <w:p w:rsidR="00E21386" w:rsidRPr="00251E91" w:rsidRDefault="00251E91" w:rsidP="00CF6B9E">
            <w:pPr>
              <w:tabs>
                <w:tab w:val="left" w:pos="671"/>
              </w:tabs>
              <w:jc w:val="right"/>
            </w:pPr>
            <w:r w:rsidRPr="00251E91">
              <w:t>172</w:t>
            </w:r>
          </w:p>
        </w:tc>
        <w:tc>
          <w:tcPr>
            <w:tcW w:w="1418" w:type="dxa"/>
          </w:tcPr>
          <w:p w:rsidR="00E21386" w:rsidRPr="00251E91" w:rsidRDefault="00251E91" w:rsidP="00CF6B9E">
            <w:pPr>
              <w:jc w:val="right"/>
            </w:pPr>
            <w:r w:rsidRPr="00251E91">
              <w:t>168</w:t>
            </w:r>
          </w:p>
        </w:tc>
        <w:tc>
          <w:tcPr>
            <w:tcW w:w="1418" w:type="dxa"/>
          </w:tcPr>
          <w:p w:rsidR="00E21386" w:rsidRPr="00251E91" w:rsidRDefault="00251E91" w:rsidP="00CF6B9E">
            <w:pPr>
              <w:jc w:val="right"/>
            </w:pPr>
            <w:r w:rsidRPr="00251E91">
              <w:t>164</w:t>
            </w:r>
          </w:p>
        </w:tc>
        <w:tc>
          <w:tcPr>
            <w:tcW w:w="1405" w:type="dxa"/>
          </w:tcPr>
          <w:p w:rsidR="00E21386" w:rsidRPr="00251E91" w:rsidRDefault="00251E91" w:rsidP="00CF6B9E">
            <w:pPr>
              <w:ind w:right="-13"/>
              <w:jc w:val="right"/>
            </w:pPr>
            <w:r w:rsidRPr="00251E91">
              <w:t>160</w:t>
            </w:r>
          </w:p>
        </w:tc>
      </w:tr>
      <w:tr w:rsidR="00E21386" w:rsidRPr="005B473A" w:rsidTr="00CF6B9E">
        <w:tc>
          <w:tcPr>
            <w:tcW w:w="2204" w:type="dxa"/>
          </w:tcPr>
          <w:p w:rsidR="00E21386" w:rsidRPr="005B473A" w:rsidRDefault="00E21386" w:rsidP="00CF6B9E"/>
        </w:tc>
        <w:tc>
          <w:tcPr>
            <w:tcW w:w="1284" w:type="dxa"/>
          </w:tcPr>
          <w:p w:rsidR="00E21386" w:rsidRPr="00F63785" w:rsidRDefault="00E21386" w:rsidP="00CF6B9E">
            <w:pPr>
              <w:tabs>
                <w:tab w:val="left" w:pos="671"/>
              </w:tabs>
              <w:jc w:val="right"/>
              <w:rPr>
                <w:highlight w:val="yellow"/>
              </w:rPr>
            </w:pPr>
          </w:p>
        </w:tc>
        <w:tc>
          <w:tcPr>
            <w:tcW w:w="1418" w:type="dxa"/>
          </w:tcPr>
          <w:p w:rsidR="00E21386" w:rsidRPr="00F63785" w:rsidRDefault="00E21386" w:rsidP="00CF6B9E">
            <w:pPr>
              <w:jc w:val="right"/>
              <w:rPr>
                <w:highlight w:val="yellow"/>
              </w:rPr>
            </w:pPr>
          </w:p>
        </w:tc>
        <w:tc>
          <w:tcPr>
            <w:tcW w:w="1418" w:type="dxa"/>
          </w:tcPr>
          <w:p w:rsidR="00E21386" w:rsidRPr="00F63785" w:rsidRDefault="00E21386" w:rsidP="00CF6B9E">
            <w:pPr>
              <w:jc w:val="right"/>
              <w:rPr>
                <w:highlight w:val="yellow"/>
              </w:rPr>
            </w:pPr>
          </w:p>
        </w:tc>
        <w:tc>
          <w:tcPr>
            <w:tcW w:w="1405" w:type="dxa"/>
          </w:tcPr>
          <w:p w:rsidR="00E21386" w:rsidRPr="00F63785" w:rsidRDefault="00E21386" w:rsidP="00CF6B9E">
            <w:pPr>
              <w:ind w:right="-13"/>
              <w:jc w:val="right"/>
              <w:rPr>
                <w:highlight w:val="yellow"/>
              </w:rPr>
            </w:pPr>
          </w:p>
        </w:tc>
      </w:tr>
      <w:tr w:rsidR="00E21386" w:rsidRPr="005B473A" w:rsidTr="00CF6B9E">
        <w:tc>
          <w:tcPr>
            <w:tcW w:w="2204" w:type="dxa"/>
          </w:tcPr>
          <w:p w:rsidR="00E21386" w:rsidRPr="00F861B8" w:rsidRDefault="00E21386" w:rsidP="00CF6B9E">
            <w:pPr>
              <w:rPr>
                <w:b/>
              </w:rPr>
            </w:pPr>
            <w:r w:rsidRPr="00F861B8">
              <w:rPr>
                <w:b/>
              </w:rPr>
              <w:t>Borrowing CFR</w:t>
            </w:r>
          </w:p>
        </w:tc>
        <w:tc>
          <w:tcPr>
            <w:tcW w:w="1284" w:type="dxa"/>
          </w:tcPr>
          <w:p w:rsidR="00E21386" w:rsidRPr="00251E91" w:rsidRDefault="00251E91" w:rsidP="00CF6B9E">
            <w:pPr>
              <w:tabs>
                <w:tab w:val="left" w:pos="671"/>
              </w:tabs>
              <w:jc w:val="right"/>
              <w:rPr>
                <w:b/>
              </w:rPr>
            </w:pPr>
            <w:r w:rsidRPr="00251E91">
              <w:rPr>
                <w:b/>
              </w:rPr>
              <w:t>871</w:t>
            </w:r>
          </w:p>
        </w:tc>
        <w:tc>
          <w:tcPr>
            <w:tcW w:w="1418" w:type="dxa"/>
          </w:tcPr>
          <w:p w:rsidR="00E21386" w:rsidRPr="00251E91" w:rsidRDefault="00251E91" w:rsidP="00CF6B9E">
            <w:pPr>
              <w:jc w:val="right"/>
              <w:rPr>
                <w:b/>
              </w:rPr>
            </w:pPr>
            <w:r w:rsidRPr="00251E91">
              <w:rPr>
                <w:b/>
              </w:rPr>
              <w:t>893</w:t>
            </w:r>
          </w:p>
        </w:tc>
        <w:tc>
          <w:tcPr>
            <w:tcW w:w="1418" w:type="dxa"/>
          </w:tcPr>
          <w:p w:rsidR="00E21386" w:rsidRPr="00251E91" w:rsidRDefault="00251E91" w:rsidP="00CF6B9E">
            <w:pPr>
              <w:jc w:val="right"/>
              <w:rPr>
                <w:b/>
              </w:rPr>
            </w:pPr>
            <w:r w:rsidRPr="00251E91">
              <w:rPr>
                <w:b/>
              </w:rPr>
              <w:t>882</w:t>
            </w:r>
          </w:p>
        </w:tc>
        <w:tc>
          <w:tcPr>
            <w:tcW w:w="1405" w:type="dxa"/>
          </w:tcPr>
          <w:p w:rsidR="00E21386" w:rsidRPr="00251E91" w:rsidRDefault="00251E91" w:rsidP="00CF6B9E">
            <w:pPr>
              <w:ind w:right="-13"/>
              <w:jc w:val="right"/>
              <w:rPr>
                <w:b/>
              </w:rPr>
            </w:pPr>
            <w:r w:rsidRPr="00251E91">
              <w:rPr>
                <w:b/>
              </w:rPr>
              <w:t>875</w:t>
            </w:r>
          </w:p>
        </w:tc>
      </w:tr>
      <w:tr w:rsidR="00E21386" w:rsidRPr="001143BB" w:rsidTr="00CF6B9E">
        <w:tc>
          <w:tcPr>
            <w:tcW w:w="2204" w:type="dxa"/>
            <w:tcBorders>
              <w:bottom w:val="nil"/>
            </w:tcBorders>
          </w:tcPr>
          <w:p w:rsidR="00E21386" w:rsidRPr="001143BB" w:rsidRDefault="00E21386" w:rsidP="00CF6B9E">
            <w:pPr>
              <w:rPr>
                <w:highlight w:val="yellow"/>
              </w:rPr>
            </w:pPr>
          </w:p>
        </w:tc>
        <w:tc>
          <w:tcPr>
            <w:tcW w:w="1284" w:type="dxa"/>
            <w:tcBorders>
              <w:bottom w:val="nil"/>
            </w:tcBorders>
          </w:tcPr>
          <w:p w:rsidR="00E21386" w:rsidRPr="00F63785" w:rsidRDefault="00E21386" w:rsidP="00CF6B9E">
            <w:pPr>
              <w:tabs>
                <w:tab w:val="left" w:pos="671"/>
              </w:tabs>
              <w:jc w:val="right"/>
              <w:rPr>
                <w:highlight w:val="yellow"/>
              </w:rPr>
            </w:pPr>
          </w:p>
        </w:tc>
        <w:tc>
          <w:tcPr>
            <w:tcW w:w="1418" w:type="dxa"/>
            <w:tcBorders>
              <w:bottom w:val="nil"/>
            </w:tcBorders>
          </w:tcPr>
          <w:p w:rsidR="00E21386" w:rsidRPr="00F63785" w:rsidRDefault="00E21386" w:rsidP="00CF6B9E">
            <w:pPr>
              <w:jc w:val="right"/>
              <w:rPr>
                <w:highlight w:val="yellow"/>
              </w:rPr>
            </w:pPr>
          </w:p>
        </w:tc>
        <w:tc>
          <w:tcPr>
            <w:tcW w:w="1418" w:type="dxa"/>
            <w:tcBorders>
              <w:bottom w:val="nil"/>
            </w:tcBorders>
          </w:tcPr>
          <w:p w:rsidR="00E21386" w:rsidRPr="00F63785" w:rsidRDefault="00E21386" w:rsidP="00CF6B9E">
            <w:pPr>
              <w:jc w:val="right"/>
              <w:rPr>
                <w:highlight w:val="yellow"/>
              </w:rPr>
            </w:pPr>
          </w:p>
        </w:tc>
        <w:tc>
          <w:tcPr>
            <w:tcW w:w="1405" w:type="dxa"/>
            <w:tcBorders>
              <w:bottom w:val="nil"/>
            </w:tcBorders>
          </w:tcPr>
          <w:p w:rsidR="00E21386" w:rsidRPr="00F63785" w:rsidRDefault="00E21386" w:rsidP="00CF6B9E">
            <w:pPr>
              <w:ind w:right="-13"/>
              <w:jc w:val="right"/>
              <w:rPr>
                <w:highlight w:val="yellow"/>
              </w:rPr>
            </w:pPr>
          </w:p>
        </w:tc>
      </w:tr>
      <w:tr w:rsidR="00E21386" w:rsidRPr="001143BB" w:rsidTr="00CF6B9E">
        <w:tc>
          <w:tcPr>
            <w:tcW w:w="2204" w:type="dxa"/>
            <w:tcBorders>
              <w:top w:val="nil"/>
              <w:bottom w:val="single" w:sz="4" w:space="0" w:color="auto"/>
            </w:tcBorders>
          </w:tcPr>
          <w:p w:rsidR="00E21386" w:rsidRPr="00F0114F" w:rsidRDefault="00E21386" w:rsidP="00CF6B9E">
            <w:r w:rsidRPr="00F0114F">
              <w:t>Loans Borrowed (31March estimate)</w:t>
            </w:r>
          </w:p>
        </w:tc>
        <w:tc>
          <w:tcPr>
            <w:tcW w:w="1284" w:type="dxa"/>
            <w:tcBorders>
              <w:top w:val="nil"/>
              <w:bottom w:val="single" w:sz="4" w:space="0" w:color="auto"/>
            </w:tcBorders>
          </w:tcPr>
          <w:p w:rsidR="00E21386" w:rsidRPr="00251E91" w:rsidRDefault="00251E91" w:rsidP="00CF6B9E">
            <w:pPr>
              <w:tabs>
                <w:tab w:val="left" w:pos="671"/>
              </w:tabs>
              <w:jc w:val="right"/>
            </w:pPr>
            <w:r w:rsidRPr="00251E91">
              <w:t>1,039</w:t>
            </w:r>
          </w:p>
        </w:tc>
        <w:tc>
          <w:tcPr>
            <w:tcW w:w="1418" w:type="dxa"/>
            <w:tcBorders>
              <w:top w:val="nil"/>
              <w:bottom w:val="single" w:sz="4" w:space="0" w:color="auto"/>
            </w:tcBorders>
          </w:tcPr>
          <w:p w:rsidR="00E21386" w:rsidRPr="00251E91" w:rsidRDefault="00251E91" w:rsidP="00CF6B9E">
            <w:pPr>
              <w:jc w:val="right"/>
            </w:pPr>
            <w:r w:rsidRPr="00251E91">
              <w:t>1,058</w:t>
            </w:r>
          </w:p>
        </w:tc>
        <w:tc>
          <w:tcPr>
            <w:tcW w:w="1418" w:type="dxa"/>
            <w:tcBorders>
              <w:top w:val="nil"/>
              <w:bottom w:val="single" w:sz="4" w:space="0" w:color="auto"/>
            </w:tcBorders>
          </w:tcPr>
          <w:p w:rsidR="00E21386" w:rsidRPr="00251E91" w:rsidRDefault="00251E91" w:rsidP="00CF6B9E">
            <w:pPr>
              <w:jc w:val="right"/>
            </w:pPr>
            <w:r w:rsidRPr="00251E91">
              <w:t>1,044</w:t>
            </w:r>
          </w:p>
        </w:tc>
        <w:tc>
          <w:tcPr>
            <w:tcW w:w="1405" w:type="dxa"/>
            <w:tcBorders>
              <w:top w:val="nil"/>
              <w:bottom w:val="single" w:sz="4" w:space="0" w:color="auto"/>
            </w:tcBorders>
          </w:tcPr>
          <w:p w:rsidR="00E21386" w:rsidRPr="00251E91" w:rsidRDefault="00251E91" w:rsidP="00CF6B9E">
            <w:pPr>
              <w:ind w:right="-13"/>
              <w:jc w:val="right"/>
            </w:pPr>
            <w:r w:rsidRPr="00251E91">
              <w:t>1,031</w:t>
            </w:r>
          </w:p>
        </w:tc>
      </w:tr>
      <w:tr w:rsidR="00E21386" w:rsidRPr="001143BB" w:rsidTr="00CF6B9E">
        <w:trPr>
          <w:trHeight w:val="329"/>
        </w:trPr>
        <w:tc>
          <w:tcPr>
            <w:tcW w:w="2204" w:type="dxa"/>
            <w:tcBorders>
              <w:top w:val="single" w:sz="4" w:space="0" w:color="auto"/>
            </w:tcBorders>
          </w:tcPr>
          <w:p w:rsidR="00E21386" w:rsidRPr="00F0114F" w:rsidRDefault="00E21386" w:rsidP="00CF6B9E"/>
        </w:tc>
        <w:tc>
          <w:tcPr>
            <w:tcW w:w="1284" w:type="dxa"/>
            <w:tcBorders>
              <w:top w:val="single" w:sz="4" w:space="0" w:color="auto"/>
            </w:tcBorders>
          </w:tcPr>
          <w:p w:rsidR="00E21386" w:rsidRPr="00251E91" w:rsidRDefault="00E21386" w:rsidP="00CF6B9E">
            <w:pPr>
              <w:tabs>
                <w:tab w:val="left" w:pos="671"/>
              </w:tabs>
              <w:jc w:val="right"/>
            </w:pPr>
          </w:p>
        </w:tc>
        <w:tc>
          <w:tcPr>
            <w:tcW w:w="1418" w:type="dxa"/>
            <w:tcBorders>
              <w:top w:val="single" w:sz="4" w:space="0" w:color="auto"/>
            </w:tcBorders>
          </w:tcPr>
          <w:p w:rsidR="00E21386" w:rsidRPr="00251E91" w:rsidRDefault="00E21386" w:rsidP="00CF6B9E">
            <w:pPr>
              <w:jc w:val="right"/>
            </w:pPr>
          </w:p>
        </w:tc>
        <w:tc>
          <w:tcPr>
            <w:tcW w:w="1418" w:type="dxa"/>
            <w:tcBorders>
              <w:top w:val="single" w:sz="4" w:space="0" w:color="auto"/>
            </w:tcBorders>
          </w:tcPr>
          <w:p w:rsidR="00E21386" w:rsidRPr="00251E91" w:rsidRDefault="00E21386" w:rsidP="00CF6B9E">
            <w:pPr>
              <w:jc w:val="right"/>
            </w:pPr>
          </w:p>
        </w:tc>
        <w:tc>
          <w:tcPr>
            <w:tcW w:w="1405" w:type="dxa"/>
            <w:tcBorders>
              <w:top w:val="single" w:sz="4" w:space="0" w:color="auto"/>
            </w:tcBorders>
          </w:tcPr>
          <w:p w:rsidR="00E21386" w:rsidRPr="00251E91" w:rsidRDefault="00E21386" w:rsidP="00CF6B9E">
            <w:pPr>
              <w:ind w:right="-13"/>
              <w:jc w:val="right"/>
            </w:pPr>
          </w:p>
        </w:tc>
      </w:tr>
      <w:tr w:rsidR="00E21386" w:rsidRPr="001143BB" w:rsidTr="00CF6B9E">
        <w:tc>
          <w:tcPr>
            <w:tcW w:w="2204" w:type="dxa"/>
          </w:tcPr>
          <w:p w:rsidR="00E21386" w:rsidRPr="002338FB" w:rsidRDefault="00E21386" w:rsidP="00CF6B9E">
            <w:pPr>
              <w:rPr>
                <w:b/>
              </w:rPr>
            </w:pPr>
            <w:r w:rsidRPr="002338FB">
              <w:rPr>
                <w:b/>
              </w:rPr>
              <w:t>Borrowing Above CFR</w:t>
            </w:r>
          </w:p>
        </w:tc>
        <w:tc>
          <w:tcPr>
            <w:tcW w:w="1284" w:type="dxa"/>
          </w:tcPr>
          <w:p w:rsidR="00E21386" w:rsidRPr="00251E91" w:rsidRDefault="00251E91" w:rsidP="00CF6B9E">
            <w:pPr>
              <w:tabs>
                <w:tab w:val="left" w:pos="671"/>
              </w:tabs>
              <w:jc w:val="right"/>
              <w:rPr>
                <w:b/>
              </w:rPr>
            </w:pPr>
            <w:r w:rsidRPr="00251E91">
              <w:rPr>
                <w:b/>
              </w:rPr>
              <w:t>168</w:t>
            </w:r>
          </w:p>
        </w:tc>
        <w:tc>
          <w:tcPr>
            <w:tcW w:w="1418" w:type="dxa"/>
          </w:tcPr>
          <w:p w:rsidR="00E21386" w:rsidRPr="00251E91" w:rsidRDefault="00251E91" w:rsidP="00CF6B9E">
            <w:pPr>
              <w:jc w:val="right"/>
              <w:rPr>
                <w:b/>
              </w:rPr>
            </w:pPr>
            <w:r w:rsidRPr="00251E91">
              <w:rPr>
                <w:b/>
              </w:rPr>
              <w:t>165</w:t>
            </w:r>
          </w:p>
        </w:tc>
        <w:tc>
          <w:tcPr>
            <w:tcW w:w="1418" w:type="dxa"/>
          </w:tcPr>
          <w:p w:rsidR="00E21386" w:rsidRPr="00251E91" w:rsidRDefault="00251E91" w:rsidP="00CF6B9E">
            <w:pPr>
              <w:jc w:val="right"/>
              <w:rPr>
                <w:b/>
              </w:rPr>
            </w:pPr>
            <w:r w:rsidRPr="00251E91">
              <w:rPr>
                <w:b/>
              </w:rPr>
              <w:t>162</w:t>
            </w:r>
          </w:p>
        </w:tc>
        <w:tc>
          <w:tcPr>
            <w:tcW w:w="1405" w:type="dxa"/>
          </w:tcPr>
          <w:p w:rsidR="00E21386" w:rsidRPr="00251E91" w:rsidRDefault="00251E91" w:rsidP="00CF6B9E">
            <w:pPr>
              <w:ind w:right="-13"/>
              <w:jc w:val="right"/>
              <w:rPr>
                <w:b/>
              </w:rPr>
            </w:pPr>
            <w:r w:rsidRPr="00251E91">
              <w:rPr>
                <w:b/>
              </w:rPr>
              <w:t>156</w:t>
            </w:r>
          </w:p>
        </w:tc>
      </w:tr>
      <w:tr w:rsidR="00E21386" w:rsidRPr="001143BB" w:rsidTr="00CF6B9E">
        <w:tc>
          <w:tcPr>
            <w:tcW w:w="2204" w:type="dxa"/>
          </w:tcPr>
          <w:p w:rsidR="00E21386" w:rsidRPr="002338FB" w:rsidRDefault="00E21386" w:rsidP="00CF6B9E"/>
        </w:tc>
        <w:tc>
          <w:tcPr>
            <w:tcW w:w="1284" w:type="dxa"/>
          </w:tcPr>
          <w:p w:rsidR="00E21386" w:rsidRPr="00251E91" w:rsidRDefault="00E21386" w:rsidP="00CF6B9E">
            <w:pPr>
              <w:tabs>
                <w:tab w:val="left" w:pos="671"/>
              </w:tabs>
              <w:jc w:val="right"/>
            </w:pPr>
          </w:p>
        </w:tc>
        <w:tc>
          <w:tcPr>
            <w:tcW w:w="1418" w:type="dxa"/>
          </w:tcPr>
          <w:p w:rsidR="00E21386" w:rsidRPr="00251E91" w:rsidRDefault="00E21386" w:rsidP="00CF6B9E">
            <w:pPr>
              <w:jc w:val="right"/>
            </w:pPr>
          </w:p>
        </w:tc>
        <w:tc>
          <w:tcPr>
            <w:tcW w:w="1418" w:type="dxa"/>
          </w:tcPr>
          <w:p w:rsidR="00E21386" w:rsidRPr="00251E91" w:rsidRDefault="00E21386" w:rsidP="00CF6B9E">
            <w:pPr>
              <w:jc w:val="right"/>
            </w:pPr>
          </w:p>
        </w:tc>
        <w:tc>
          <w:tcPr>
            <w:tcW w:w="1405" w:type="dxa"/>
          </w:tcPr>
          <w:p w:rsidR="00E21386" w:rsidRPr="00251E91" w:rsidRDefault="00E21386" w:rsidP="00CF6B9E">
            <w:pPr>
              <w:ind w:right="-13"/>
              <w:jc w:val="right"/>
            </w:pPr>
          </w:p>
        </w:tc>
      </w:tr>
      <w:tr w:rsidR="00E21386" w:rsidRPr="001143BB" w:rsidTr="00CF6B9E">
        <w:tc>
          <w:tcPr>
            <w:tcW w:w="2204" w:type="dxa"/>
          </w:tcPr>
          <w:p w:rsidR="00E21386" w:rsidRPr="002338FB" w:rsidRDefault="00E21386" w:rsidP="00CF6B9E">
            <w:pPr>
              <w:rPr>
                <w:i/>
              </w:rPr>
            </w:pPr>
            <w:r w:rsidRPr="002338FB">
              <w:rPr>
                <w:i/>
              </w:rPr>
              <w:t>Comprising:</w:t>
            </w:r>
          </w:p>
        </w:tc>
        <w:tc>
          <w:tcPr>
            <w:tcW w:w="1284" w:type="dxa"/>
          </w:tcPr>
          <w:p w:rsidR="00E21386" w:rsidRPr="00251E91" w:rsidRDefault="00E21386" w:rsidP="00CF6B9E">
            <w:pPr>
              <w:tabs>
                <w:tab w:val="left" w:pos="671"/>
              </w:tabs>
              <w:jc w:val="right"/>
            </w:pPr>
          </w:p>
        </w:tc>
        <w:tc>
          <w:tcPr>
            <w:tcW w:w="1418" w:type="dxa"/>
          </w:tcPr>
          <w:p w:rsidR="00E21386" w:rsidRPr="00251E91" w:rsidRDefault="00E21386" w:rsidP="00CF6B9E">
            <w:pPr>
              <w:jc w:val="right"/>
            </w:pPr>
          </w:p>
        </w:tc>
        <w:tc>
          <w:tcPr>
            <w:tcW w:w="1418" w:type="dxa"/>
          </w:tcPr>
          <w:p w:rsidR="00E21386" w:rsidRPr="00251E91" w:rsidRDefault="00E21386" w:rsidP="00CF6B9E">
            <w:pPr>
              <w:jc w:val="right"/>
            </w:pPr>
          </w:p>
        </w:tc>
        <w:tc>
          <w:tcPr>
            <w:tcW w:w="1405" w:type="dxa"/>
          </w:tcPr>
          <w:p w:rsidR="00E21386" w:rsidRPr="00251E91" w:rsidRDefault="00E21386" w:rsidP="00CF6B9E">
            <w:pPr>
              <w:ind w:right="-13"/>
              <w:jc w:val="right"/>
            </w:pPr>
          </w:p>
        </w:tc>
      </w:tr>
      <w:tr w:rsidR="00E21386" w:rsidRPr="001143BB" w:rsidTr="00CF6B9E">
        <w:tc>
          <w:tcPr>
            <w:tcW w:w="2204" w:type="dxa"/>
          </w:tcPr>
          <w:p w:rsidR="00E21386" w:rsidRPr="002338FB" w:rsidRDefault="00251E91" w:rsidP="00CF6B9E">
            <w:r>
              <w:t>Premiums</w:t>
            </w:r>
          </w:p>
        </w:tc>
        <w:tc>
          <w:tcPr>
            <w:tcW w:w="1284" w:type="dxa"/>
          </w:tcPr>
          <w:p w:rsidR="00E21386" w:rsidRPr="00251E91" w:rsidRDefault="00251E91" w:rsidP="00CF6B9E">
            <w:pPr>
              <w:tabs>
                <w:tab w:val="left" w:pos="671"/>
              </w:tabs>
              <w:jc w:val="right"/>
            </w:pPr>
            <w:r w:rsidRPr="00251E91">
              <w:t>48</w:t>
            </w:r>
          </w:p>
        </w:tc>
        <w:tc>
          <w:tcPr>
            <w:tcW w:w="1418" w:type="dxa"/>
          </w:tcPr>
          <w:p w:rsidR="00E21386" w:rsidRPr="00251E91" w:rsidDel="00272267" w:rsidRDefault="00251E91" w:rsidP="00251E91">
            <w:pPr>
              <w:jc w:val="right"/>
            </w:pPr>
            <w:r w:rsidRPr="00251E91">
              <w:t>45</w:t>
            </w:r>
          </w:p>
        </w:tc>
        <w:tc>
          <w:tcPr>
            <w:tcW w:w="1418" w:type="dxa"/>
          </w:tcPr>
          <w:p w:rsidR="00E21386" w:rsidRPr="00251E91" w:rsidDel="00272267" w:rsidRDefault="00251E91" w:rsidP="00251E91">
            <w:pPr>
              <w:jc w:val="right"/>
            </w:pPr>
            <w:r w:rsidRPr="00251E91">
              <w:t>42</w:t>
            </w:r>
          </w:p>
        </w:tc>
        <w:tc>
          <w:tcPr>
            <w:tcW w:w="1405" w:type="dxa"/>
          </w:tcPr>
          <w:p w:rsidR="00E21386" w:rsidRPr="00251E91" w:rsidDel="00272267" w:rsidRDefault="00251E91" w:rsidP="00CF6B9E">
            <w:pPr>
              <w:ind w:right="-13"/>
              <w:jc w:val="right"/>
            </w:pPr>
            <w:r w:rsidRPr="00251E91">
              <w:t>36</w:t>
            </w:r>
          </w:p>
        </w:tc>
      </w:tr>
      <w:tr w:rsidR="00E21386" w:rsidRPr="001143BB" w:rsidTr="00CF6B9E">
        <w:tc>
          <w:tcPr>
            <w:tcW w:w="2204" w:type="dxa"/>
          </w:tcPr>
          <w:p w:rsidR="00E21386" w:rsidRPr="00F0114F" w:rsidRDefault="00E21386" w:rsidP="00CF6B9E">
            <w:r w:rsidRPr="00F0114F">
              <w:lastRenderedPageBreak/>
              <w:t>Shared Investment Scheme</w:t>
            </w:r>
          </w:p>
        </w:tc>
        <w:tc>
          <w:tcPr>
            <w:tcW w:w="1284" w:type="dxa"/>
          </w:tcPr>
          <w:p w:rsidR="00E21386" w:rsidRPr="00251E91" w:rsidRDefault="00251E91" w:rsidP="00CF6B9E">
            <w:pPr>
              <w:tabs>
                <w:tab w:val="left" w:pos="671"/>
              </w:tabs>
              <w:jc w:val="right"/>
            </w:pPr>
            <w:r w:rsidRPr="00251E91">
              <w:t>120</w:t>
            </w:r>
          </w:p>
        </w:tc>
        <w:tc>
          <w:tcPr>
            <w:tcW w:w="1418" w:type="dxa"/>
          </w:tcPr>
          <w:p w:rsidR="00E21386" w:rsidRPr="00251E91" w:rsidRDefault="00251E91" w:rsidP="00CF6B9E">
            <w:pPr>
              <w:jc w:val="right"/>
            </w:pPr>
            <w:r w:rsidRPr="00251E91">
              <w:t>120</w:t>
            </w:r>
          </w:p>
        </w:tc>
        <w:tc>
          <w:tcPr>
            <w:tcW w:w="1418" w:type="dxa"/>
          </w:tcPr>
          <w:p w:rsidR="00E21386" w:rsidRPr="00251E91" w:rsidRDefault="00251E91" w:rsidP="00CF6B9E">
            <w:pPr>
              <w:jc w:val="right"/>
            </w:pPr>
            <w:r w:rsidRPr="00251E91">
              <w:t>120</w:t>
            </w:r>
          </w:p>
        </w:tc>
        <w:tc>
          <w:tcPr>
            <w:tcW w:w="1405" w:type="dxa"/>
          </w:tcPr>
          <w:p w:rsidR="00E21386" w:rsidRPr="00251E91" w:rsidRDefault="00251E91" w:rsidP="00CF6B9E">
            <w:pPr>
              <w:ind w:right="-13"/>
              <w:jc w:val="right"/>
            </w:pPr>
            <w:r w:rsidRPr="00251E91">
              <w:t>120</w:t>
            </w:r>
          </w:p>
        </w:tc>
      </w:tr>
      <w:tr w:rsidR="00E21386" w:rsidRPr="001143BB" w:rsidTr="00CF6B9E">
        <w:tc>
          <w:tcPr>
            <w:tcW w:w="2204" w:type="dxa"/>
            <w:tcBorders>
              <w:bottom w:val="single" w:sz="4" w:space="0" w:color="auto"/>
            </w:tcBorders>
          </w:tcPr>
          <w:p w:rsidR="00E21386" w:rsidRPr="00F861B8" w:rsidRDefault="00E21386" w:rsidP="00CF6B9E">
            <w:pPr>
              <w:rPr>
                <w:highlight w:val="yellow"/>
              </w:rPr>
            </w:pPr>
            <w:r w:rsidRPr="00F0114F">
              <w:rPr>
                <w:b/>
              </w:rPr>
              <w:t>Total</w:t>
            </w:r>
          </w:p>
        </w:tc>
        <w:tc>
          <w:tcPr>
            <w:tcW w:w="1284" w:type="dxa"/>
            <w:tcBorders>
              <w:bottom w:val="single" w:sz="4" w:space="0" w:color="auto"/>
            </w:tcBorders>
          </w:tcPr>
          <w:p w:rsidR="00E21386" w:rsidRPr="00251E91" w:rsidRDefault="00E21386" w:rsidP="00251E91">
            <w:pPr>
              <w:tabs>
                <w:tab w:val="left" w:pos="671"/>
              </w:tabs>
              <w:jc w:val="right"/>
            </w:pPr>
            <w:r w:rsidRPr="00251E91">
              <w:rPr>
                <w:b/>
              </w:rPr>
              <w:t>1</w:t>
            </w:r>
            <w:r w:rsidR="00251E91" w:rsidRPr="00251E91">
              <w:rPr>
                <w:b/>
              </w:rPr>
              <w:t>68</w:t>
            </w:r>
          </w:p>
        </w:tc>
        <w:tc>
          <w:tcPr>
            <w:tcW w:w="1418" w:type="dxa"/>
            <w:tcBorders>
              <w:bottom w:val="single" w:sz="4" w:space="0" w:color="auto"/>
            </w:tcBorders>
          </w:tcPr>
          <w:p w:rsidR="00E21386" w:rsidRPr="00251E91" w:rsidRDefault="00E21386" w:rsidP="00251E91">
            <w:pPr>
              <w:jc w:val="right"/>
            </w:pPr>
            <w:r w:rsidRPr="00251E91">
              <w:rPr>
                <w:b/>
              </w:rPr>
              <w:t>1</w:t>
            </w:r>
            <w:r w:rsidR="00251E91" w:rsidRPr="00251E91">
              <w:rPr>
                <w:b/>
              </w:rPr>
              <w:t>65</w:t>
            </w:r>
          </w:p>
        </w:tc>
        <w:tc>
          <w:tcPr>
            <w:tcW w:w="1418" w:type="dxa"/>
            <w:tcBorders>
              <w:bottom w:val="single" w:sz="4" w:space="0" w:color="auto"/>
            </w:tcBorders>
          </w:tcPr>
          <w:p w:rsidR="00E21386" w:rsidRPr="00251E91" w:rsidRDefault="00E21386" w:rsidP="00251E91">
            <w:pPr>
              <w:jc w:val="right"/>
            </w:pPr>
            <w:r w:rsidRPr="00251E91">
              <w:rPr>
                <w:b/>
              </w:rPr>
              <w:t>1</w:t>
            </w:r>
            <w:r w:rsidR="00251E91" w:rsidRPr="00251E91">
              <w:rPr>
                <w:b/>
              </w:rPr>
              <w:t>62</w:t>
            </w:r>
          </w:p>
        </w:tc>
        <w:tc>
          <w:tcPr>
            <w:tcW w:w="1405" w:type="dxa"/>
            <w:tcBorders>
              <w:bottom w:val="single" w:sz="4" w:space="0" w:color="auto"/>
            </w:tcBorders>
          </w:tcPr>
          <w:p w:rsidR="00E21386" w:rsidRPr="00251E91" w:rsidRDefault="00E21386" w:rsidP="00251E91">
            <w:pPr>
              <w:ind w:right="-13"/>
              <w:jc w:val="right"/>
            </w:pPr>
            <w:r w:rsidRPr="00251E91">
              <w:rPr>
                <w:b/>
              </w:rPr>
              <w:t>1</w:t>
            </w:r>
            <w:r w:rsidR="00251E91" w:rsidRPr="00251E91">
              <w:rPr>
                <w:b/>
              </w:rPr>
              <w:t>56</w:t>
            </w:r>
          </w:p>
        </w:tc>
      </w:tr>
    </w:tbl>
    <w:p w:rsidR="00E21386" w:rsidRPr="00932EE8" w:rsidRDefault="00E21386" w:rsidP="00D07A73">
      <w:pPr>
        <w:spacing w:after="240"/>
      </w:pPr>
    </w:p>
    <w:p w:rsidR="00E31179" w:rsidRPr="00932EE8" w:rsidRDefault="00B41D49" w:rsidP="00E31179">
      <w:pPr>
        <w:jc w:val="both"/>
        <w:rPr>
          <w:i/>
        </w:rPr>
      </w:pPr>
      <w:r>
        <w:rPr>
          <w:i/>
        </w:rPr>
        <w:t>4.</w:t>
      </w:r>
      <w:r w:rsidR="00FB0846">
        <w:rPr>
          <w:i/>
        </w:rPr>
        <w:t>2</w:t>
      </w:r>
      <w:r>
        <w:rPr>
          <w:i/>
        </w:rPr>
        <w:t xml:space="preserve"> </w:t>
      </w:r>
      <w:r w:rsidR="00E31179" w:rsidRPr="00932EE8">
        <w:rPr>
          <w:i/>
        </w:rPr>
        <w:t xml:space="preserve">Sources of borrowing </w:t>
      </w:r>
    </w:p>
    <w:p w:rsidR="00E31179" w:rsidRPr="00932EE8" w:rsidRDefault="00E31179" w:rsidP="00E31179">
      <w:pPr>
        <w:jc w:val="both"/>
        <w:rPr>
          <w:i/>
        </w:rPr>
      </w:pPr>
    </w:p>
    <w:p w:rsidR="00E31179" w:rsidRPr="00B27B53" w:rsidRDefault="00E31179" w:rsidP="00E31179">
      <w:pPr>
        <w:jc w:val="both"/>
      </w:pPr>
      <w:r w:rsidRPr="00B27B53">
        <w:t>The approved sources of long-term and short-term borrowing will be:</w:t>
      </w:r>
    </w:p>
    <w:p w:rsidR="00894308" w:rsidRPr="00B27B53" w:rsidRDefault="00894308" w:rsidP="00E31179">
      <w:pPr>
        <w:jc w:val="both"/>
      </w:pPr>
    </w:p>
    <w:p w:rsidR="00E125BC" w:rsidRDefault="00E31179" w:rsidP="00750FB1">
      <w:pPr>
        <w:widowControl w:val="0"/>
        <w:numPr>
          <w:ilvl w:val="0"/>
          <w:numId w:val="13"/>
        </w:numPr>
        <w:ind w:left="714" w:hanging="357"/>
        <w:jc w:val="both"/>
      </w:pPr>
      <w:r w:rsidRPr="00B27B53">
        <w:t>Public Works Loan Board</w:t>
      </w:r>
    </w:p>
    <w:p w:rsidR="00962DDD" w:rsidRDefault="00962DDD" w:rsidP="00962DDD">
      <w:pPr>
        <w:widowControl w:val="0"/>
        <w:numPr>
          <w:ilvl w:val="0"/>
          <w:numId w:val="13"/>
        </w:numPr>
        <w:jc w:val="both"/>
      </w:pPr>
      <w:r w:rsidRPr="00962DDD">
        <w:t>LGA Municipal Bond Agency (subject to approval of a separate report by cabinet</w:t>
      </w:r>
      <w:r w:rsidR="005F3E59">
        <w:t>)</w:t>
      </w:r>
    </w:p>
    <w:p w:rsidR="00E125BC" w:rsidRDefault="00FB2064" w:rsidP="00BF0506">
      <w:pPr>
        <w:pStyle w:val="NoSpacing"/>
        <w:numPr>
          <w:ilvl w:val="0"/>
          <w:numId w:val="13"/>
        </w:numPr>
      </w:pPr>
      <w:r>
        <w:t>S</w:t>
      </w:r>
      <w:r w:rsidR="00C029B4" w:rsidRPr="004905D2">
        <w:t xml:space="preserve">pecial purpose companies created to enable joint local authority bond issues, using the format of a </w:t>
      </w:r>
      <w:r w:rsidR="00332D16">
        <w:t>e</w:t>
      </w:r>
      <w:r w:rsidR="00C029B4" w:rsidRPr="004905D2">
        <w:t xml:space="preserve">uro </w:t>
      </w:r>
      <w:r w:rsidR="00332D16">
        <w:t>m</w:t>
      </w:r>
      <w:r w:rsidR="00C029B4" w:rsidRPr="004905D2">
        <w:t xml:space="preserve">edium </w:t>
      </w:r>
      <w:r w:rsidR="00332D16">
        <w:t>t</w:t>
      </w:r>
      <w:r w:rsidR="00C029B4" w:rsidRPr="004905D2">
        <w:t xml:space="preserve">erm </w:t>
      </w:r>
      <w:r w:rsidR="00332D16">
        <w:t>n</w:t>
      </w:r>
      <w:r w:rsidR="00C029B4" w:rsidRPr="004905D2">
        <w:t>ote programme</w:t>
      </w:r>
      <w:r w:rsidR="00E125BC">
        <w:t xml:space="preserve"> or a </w:t>
      </w:r>
      <w:r w:rsidR="00332D16">
        <w:t>c</w:t>
      </w:r>
      <w:r w:rsidR="00E125BC">
        <w:t xml:space="preserve">ommercial </w:t>
      </w:r>
      <w:r w:rsidR="00332D16">
        <w:t>p</w:t>
      </w:r>
      <w:r w:rsidR="00E125BC">
        <w:t xml:space="preserve">aper </w:t>
      </w:r>
      <w:r w:rsidR="00332D16">
        <w:t>pr</w:t>
      </w:r>
      <w:r w:rsidR="00E125BC">
        <w:t>ogramme</w:t>
      </w:r>
    </w:p>
    <w:p w:rsidR="00E125BC" w:rsidRDefault="00894308" w:rsidP="00BF0506">
      <w:pPr>
        <w:pStyle w:val="NoSpacing"/>
        <w:numPr>
          <w:ilvl w:val="0"/>
          <w:numId w:val="13"/>
        </w:numPr>
      </w:pPr>
      <w:r w:rsidRPr="00B27B53">
        <w:t>UK Local Authorities</w:t>
      </w:r>
    </w:p>
    <w:p w:rsidR="00E125BC" w:rsidRDefault="00E31179" w:rsidP="00BF0506">
      <w:pPr>
        <w:pStyle w:val="NoSpacing"/>
        <w:numPr>
          <w:ilvl w:val="0"/>
          <w:numId w:val="13"/>
        </w:numPr>
      </w:pPr>
      <w:r w:rsidRPr="00B27B53">
        <w:t xml:space="preserve">any institution approved for investments </w:t>
      </w:r>
      <w:r w:rsidR="00C91E91">
        <w:t>including high quality supranational banks such as the European Central Bank</w:t>
      </w:r>
    </w:p>
    <w:p w:rsidR="00BE2FED" w:rsidRDefault="00894308" w:rsidP="00BF0506">
      <w:pPr>
        <w:pStyle w:val="NoSpacing"/>
        <w:numPr>
          <w:ilvl w:val="0"/>
          <w:numId w:val="42"/>
        </w:numPr>
      </w:pPr>
      <w:r w:rsidRPr="00B27B53">
        <w:t>UK public and private sector pension funds</w:t>
      </w:r>
    </w:p>
    <w:p w:rsidR="00D340CC" w:rsidRPr="00B27B53" w:rsidRDefault="00332D16" w:rsidP="00BF0506">
      <w:pPr>
        <w:pStyle w:val="NoSpacing"/>
        <w:numPr>
          <w:ilvl w:val="0"/>
          <w:numId w:val="42"/>
        </w:numPr>
      </w:pPr>
      <w:r>
        <w:t>a</w:t>
      </w:r>
      <w:r w:rsidR="00BE2FED">
        <w:t xml:space="preserve">ny other financial institution approved by the </w:t>
      </w:r>
      <w:r>
        <w:t>Prudential Regulation Authority</w:t>
      </w:r>
      <w:r w:rsidR="00BE2FED">
        <w:t xml:space="preserve"> </w:t>
      </w:r>
    </w:p>
    <w:p w:rsidR="00E31179" w:rsidRDefault="00E31179" w:rsidP="00BF0506">
      <w:pPr>
        <w:pStyle w:val="NoSpacing"/>
        <w:numPr>
          <w:ilvl w:val="0"/>
          <w:numId w:val="42"/>
        </w:numPr>
      </w:pPr>
      <w:r w:rsidRPr="00B27B53">
        <w:t>capital market bond investors</w:t>
      </w:r>
      <w:r w:rsidR="00BE2FED">
        <w:t xml:space="preserve"> either over the counter or through electronic trading platforms</w:t>
      </w:r>
    </w:p>
    <w:p w:rsidR="007A0BFC" w:rsidRDefault="007A0BFC" w:rsidP="007A0BFC">
      <w:pPr>
        <w:widowControl w:val="0"/>
        <w:ind w:left="714"/>
        <w:jc w:val="both"/>
      </w:pPr>
    </w:p>
    <w:p w:rsidR="007A0BFC" w:rsidRDefault="007A0BFC" w:rsidP="007A0BFC">
      <w:pPr>
        <w:widowControl w:val="0"/>
        <w:jc w:val="both"/>
      </w:pPr>
      <w:r w:rsidRPr="007A0BFC">
        <w:rPr>
          <w:i/>
        </w:rPr>
        <w:t>4.3 UK Municipal Bond Agency PLC</w:t>
      </w:r>
    </w:p>
    <w:p w:rsidR="007A0BFC" w:rsidRDefault="007A0BFC" w:rsidP="007A0BFC">
      <w:pPr>
        <w:widowControl w:val="0"/>
        <w:jc w:val="both"/>
      </w:pPr>
    </w:p>
    <w:p w:rsidR="007A0BFC" w:rsidRDefault="007A0BFC" w:rsidP="007A0BFC">
      <w:pPr>
        <w:widowControl w:val="0"/>
        <w:jc w:val="both"/>
      </w:pPr>
      <w:r>
        <w:t>The Municipal Bond Agency was established by the Local Government Association in June 2014 with the primary objective of</w:t>
      </w:r>
      <w:r w:rsidR="00FA6BF1">
        <w:t xml:space="preserve"> setting up an alternative capital funding source for the local government sector and </w:t>
      </w:r>
      <w:r>
        <w:t xml:space="preserve">reducing UK local authority financing costs </w:t>
      </w:r>
      <w:r w:rsidR="00FA6BF1">
        <w:t xml:space="preserve">by </w:t>
      </w:r>
      <w:r>
        <w:t>becoming the most efficient and cost effective provider of finance.</w:t>
      </w:r>
      <w:r w:rsidR="008C0031">
        <w:t xml:space="preserve"> </w:t>
      </w:r>
      <w:r>
        <w:t xml:space="preserve">The </w:t>
      </w:r>
      <w:r w:rsidR="00FA6BF1">
        <w:t>Cabinet agreed on 15</w:t>
      </w:r>
      <w:r w:rsidR="00FA6BF1" w:rsidRPr="00BF0506">
        <w:rPr>
          <w:vertAlign w:val="superscript"/>
        </w:rPr>
        <w:t>th</w:t>
      </w:r>
      <w:r w:rsidR="00FA6BF1">
        <w:t xml:space="preserve"> July 2014 to invest £250,000 to become a shareholder in the company which should lead to preferential dealing charges and eventually dividends from the MBA when it is in full operation. </w:t>
      </w:r>
      <w:r w:rsidR="00332D16">
        <w:t>County Council are one of 5</w:t>
      </w:r>
      <w:r w:rsidR="008C0031">
        <w:t xml:space="preserve">6 local authority </w:t>
      </w:r>
      <w:r w:rsidR="00332D16">
        <w:t>shareholders</w:t>
      </w:r>
      <w:r w:rsidR="008C0031">
        <w:t>, the 57</w:t>
      </w:r>
      <w:r w:rsidR="008C0031" w:rsidRPr="00BF0506">
        <w:rPr>
          <w:vertAlign w:val="superscript"/>
        </w:rPr>
        <w:t>th</w:t>
      </w:r>
      <w:r w:rsidR="008C0031">
        <w:t xml:space="preserve"> is </w:t>
      </w:r>
      <w:r w:rsidR="00332D16">
        <w:t>the LGA who are the founder shareholder.</w:t>
      </w:r>
      <w:r w:rsidR="008C0031">
        <w:t xml:space="preserve"> </w:t>
      </w:r>
    </w:p>
    <w:p w:rsidR="00140C62" w:rsidRDefault="00140C62" w:rsidP="007A0BFC">
      <w:pPr>
        <w:widowControl w:val="0"/>
        <w:jc w:val="both"/>
      </w:pPr>
    </w:p>
    <w:p w:rsidR="000F7B5E" w:rsidRDefault="00FA6BF1" w:rsidP="007A0BFC">
      <w:pPr>
        <w:widowControl w:val="0"/>
        <w:jc w:val="both"/>
      </w:pPr>
      <w:r>
        <w:t xml:space="preserve">It is expected that the MBA will make the first tranche of borrowing available to local authorities in 2016. </w:t>
      </w:r>
      <w:r w:rsidR="00140C62">
        <w:t xml:space="preserve">In order to </w:t>
      </w:r>
      <w:r>
        <w:t xml:space="preserve">borrow from the MBA the County Council is required to </w:t>
      </w:r>
      <w:r w:rsidRPr="00DD1084">
        <w:t>sign a joint and several guarantee</w:t>
      </w:r>
      <w:r w:rsidR="00B50F21" w:rsidRPr="006F0BD3">
        <w:t xml:space="preserve"> contained within a framework agreement. </w:t>
      </w:r>
    </w:p>
    <w:p w:rsidR="000F7B5E" w:rsidRDefault="000F7B5E" w:rsidP="007A0BFC">
      <w:pPr>
        <w:widowControl w:val="0"/>
        <w:jc w:val="both"/>
      </w:pPr>
    </w:p>
    <w:p w:rsidR="000F7B5E" w:rsidRPr="00BF0506" w:rsidRDefault="000F7B5E" w:rsidP="007A0BFC">
      <w:pPr>
        <w:widowControl w:val="0"/>
        <w:jc w:val="both"/>
        <w:rPr>
          <w:highlight w:val="yellow"/>
        </w:rPr>
      </w:pPr>
      <w:r w:rsidRPr="006C208A">
        <w:t xml:space="preserve">Signing off the framework agreement and borrowing from the MBA is </w:t>
      </w:r>
      <w:r w:rsidR="006C208A" w:rsidRPr="00BF0506">
        <w:t>the subject of a separate report to cabinet</w:t>
      </w:r>
      <w:r w:rsidR="00E56E78">
        <w:t>.</w:t>
      </w:r>
    </w:p>
    <w:p w:rsidR="000F7B5E" w:rsidRPr="00BF0506" w:rsidRDefault="000F7B5E" w:rsidP="007A0BFC">
      <w:pPr>
        <w:widowControl w:val="0"/>
        <w:jc w:val="both"/>
        <w:rPr>
          <w:highlight w:val="yellow"/>
        </w:rPr>
      </w:pPr>
    </w:p>
    <w:p w:rsidR="00272267" w:rsidRDefault="00272267" w:rsidP="00F861B8"/>
    <w:p w:rsidR="00D465F9" w:rsidRPr="00FB0846" w:rsidRDefault="00B41D49" w:rsidP="00F861B8">
      <w:pPr>
        <w:rPr>
          <w:i/>
        </w:rPr>
      </w:pPr>
      <w:r w:rsidRPr="006B5382">
        <w:rPr>
          <w:i/>
        </w:rPr>
        <w:t>4.</w:t>
      </w:r>
      <w:r w:rsidR="007A0BFC">
        <w:rPr>
          <w:i/>
        </w:rPr>
        <w:t>4</w:t>
      </w:r>
      <w:r w:rsidRPr="006B5382">
        <w:rPr>
          <w:i/>
        </w:rPr>
        <w:t xml:space="preserve"> </w:t>
      </w:r>
      <w:r w:rsidR="00D465F9" w:rsidRPr="00FB0846">
        <w:rPr>
          <w:i/>
        </w:rPr>
        <w:t>Borrowing Instruments</w:t>
      </w:r>
    </w:p>
    <w:p w:rsidR="00D465F9" w:rsidRPr="00D465F9" w:rsidRDefault="00D465F9" w:rsidP="00D465F9">
      <w:pPr>
        <w:ind w:left="360"/>
        <w:jc w:val="both"/>
        <w:rPr>
          <w:i/>
        </w:rPr>
      </w:pPr>
    </w:p>
    <w:p w:rsidR="00D465F9" w:rsidRDefault="00D465F9" w:rsidP="007A0BFC">
      <w:pPr>
        <w:jc w:val="both"/>
      </w:pPr>
      <w:r w:rsidRPr="00D465F9">
        <w:t xml:space="preserve">The </w:t>
      </w:r>
      <w:r w:rsidR="00B50F21">
        <w:t>County Council</w:t>
      </w:r>
      <w:r w:rsidR="00B50F21" w:rsidRPr="00D465F9">
        <w:t xml:space="preserve"> </w:t>
      </w:r>
      <w:r w:rsidRPr="00D465F9">
        <w:t>may only borrow money by use of the following instruments:</w:t>
      </w:r>
    </w:p>
    <w:p w:rsidR="007A0BFC" w:rsidRPr="00D465F9" w:rsidRDefault="007A0BFC" w:rsidP="00D465F9">
      <w:pPr>
        <w:ind w:left="360"/>
        <w:jc w:val="both"/>
      </w:pPr>
    </w:p>
    <w:p w:rsidR="00D465F9" w:rsidRPr="00D465F9" w:rsidRDefault="00D465F9" w:rsidP="00D465F9">
      <w:pPr>
        <w:pStyle w:val="ListParagraph"/>
        <w:numPr>
          <w:ilvl w:val="0"/>
          <w:numId w:val="25"/>
        </w:numPr>
        <w:jc w:val="both"/>
      </w:pPr>
      <w:r w:rsidRPr="00D465F9">
        <w:t>bank overdrafts</w:t>
      </w:r>
    </w:p>
    <w:p w:rsidR="00D465F9" w:rsidRPr="00D465F9" w:rsidRDefault="00D465F9" w:rsidP="00D465F9">
      <w:pPr>
        <w:pStyle w:val="ListParagraph"/>
        <w:numPr>
          <w:ilvl w:val="0"/>
          <w:numId w:val="25"/>
        </w:numPr>
        <w:jc w:val="both"/>
      </w:pPr>
      <w:r w:rsidRPr="00D465F9">
        <w:t>fixed term loans</w:t>
      </w:r>
    </w:p>
    <w:p w:rsidR="00D465F9" w:rsidRPr="00D465F9" w:rsidRDefault="00D465F9" w:rsidP="00D465F9">
      <w:pPr>
        <w:pStyle w:val="ListParagraph"/>
        <w:numPr>
          <w:ilvl w:val="0"/>
          <w:numId w:val="25"/>
        </w:numPr>
        <w:jc w:val="both"/>
      </w:pPr>
      <w:r w:rsidRPr="00D465F9">
        <w:lastRenderedPageBreak/>
        <w:t xml:space="preserve">callable loans or revolving credit facilities where the </w:t>
      </w:r>
      <w:r w:rsidR="00F25AD0">
        <w:t>county council</w:t>
      </w:r>
      <w:r w:rsidRPr="00D465F9">
        <w:t xml:space="preserve"> may repay at any time (with or without notice)</w:t>
      </w:r>
    </w:p>
    <w:p w:rsidR="00D465F9" w:rsidRPr="00D465F9" w:rsidRDefault="00D465F9" w:rsidP="00D465F9">
      <w:pPr>
        <w:pStyle w:val="ListParagraph"/>
        <w:numPr>
          <w:ilvl w:val="0"/>
          <w:numId w:val="25"/>
        </w:numPr>
        <w:jc w:val="both"/>
      </w:pPr>
      <w:r w:rsidRPr="00D465F9">
        <w:t>callable loans where the lender may repay at any time, but subject to a maximum of £150 million in total</w:t>
      </w:r>
    </w:p>
    <w:p w:rsidR="00D465F9" w:rsidRPr="00D465F9" w:rsidRDefault="00D465F9" w:rsidP="00D465F9">
      <w:pPr>
        <w:pStyle w:val="ListParagraph"/>
        <w:numPr>
          <w:ilvl w:val="0"/>
          <w:numId w:val="25"/>
        </w:numPr>
        <w:jc w:val="both"/>
      </w:pPr>
      <w:r w:rsidRPr="00D465F9">
        <w:t>lender’s option borrower’s option (LOBO) loans, but subject to a maximum of £</w:t>
      </w:r>
      <w:r w:rsidR="00D340CC">
        <w:t>100</w:t>
      </w:r>
      <w:r w:rsidRPr="00D465F9">
        <w:t xml:space="preserve"> million in total</w:t>
      </w:r>
    </w:p>
    <w:p w:rsidR="00D465F9" w:rsidRPr="00D465F9" w:rsidRDefault="00D465F9" w:rsidP="00D465F9">
      <w:pPr>
        <w:pStyle w:val="ListParagraph"/>
        <w:numPr>
          <w:ilvl w:val="0"/>
          <w:numId w:val="25"/>
        </w:numPr>
        <w:jc w:val="both"/>
      </w:pPr>
      <w:r w:rsidRPr="00D465F9">
        <w:t>bonds, notes, bills, commercial paper and other marketable instruments</w:t>
      </w:r>
    </w:p>
    <w:p w:rsidR="00D465F9" w:rsidRPr="00D465F9" w:rsidRDefault="00D465F9" w:rsidP="00D465F9">
      <w:pPr>
        <w:pStyle w:val="ListParagraph"/>
        <w:numPr>
          <w:ilvl w:val="0"/>
          <w:numId w:val="25"/>
        </w:numPr>
        <w:jc w:val="both"/>
      </w:pPr>
      <w:r w:rsidRPr="00D465F9">
        <w:t>sale and repurchase (repo) agreements</w:t>
      </w:r>
    </w:p>
    <w:p w:rsidR="00D465F9" w:rsidRPr="00D465F9" w:rsidRDefault="00D465F9" w:rsidP="00D465F9"/>
    <w:p w:rsidR="00D465F9" w:rsidRPr="00D465F9" w:rsidRDefault="00D465F9" w:rsidP="00D465F9">
      <w:pPr>
        <w:ind w:left="360"/>
      </w:pPr>
      <w:r w:rsidRPr="00D465F9">
        <w:t xml:space="preserve">Loans may be borrowed at either a fixed rate of interest, or at a variable rate linked to a market interest rate, such as LIBOR, subject to the limits on interest rate risk approved each year in the </w:t>
      </w:r>
      <w:r w:rsidRPr="00D465F9">
        <w:rPr>
          <w:i/>
        </w:rPr>
        <w:t>Treasury Management Strategy</w:t>
      </w:r>
      <w:r w:rsidRPr="00D465F9">
        <w:t>.</w:t>
      </w:r>
    </w:p>
    <w:p w:rsidR="00595CFD" w:rsidRDefault="00595CFD" w:rsidP="00C2176F">
      <w:pPr>
        <w:spacing w:after="240"/>
        <w:rPr>
          <w:bCs/>
          <w:i/>
        </w:rPr>
      </w:pPr>
    </w:p>
    <w:p w:rsidR="00550AB8" w:rsidRPr="00932EE8" w:rsidRDefault="00FA5EFC" w:rsidP="00C2176F">
      <w:pPr>
        <w:spacing w:after="240"/>
      </w:pPr>
      <w:r>
        <w:rPr>
          <w:bCs/>
          <w:i/>
        </w:rPr>
        <w:t>4.</w:t>
      </w:r>
      <w:r w:rsidR="007A0BFC">
        <w:rPr>
          <w:bCs/>
          <w:i/>
        </w:rPr>
        <w:t>5</w:t>
      </w:r>
      <w:r>
        <w:rPr>
          <w:bCs/>
          <w:i/>
        </w:rPr>
        <w:t xml:space="preserve"> </w:t>
      </w:r>
      <w:r w:rsidR="00550AB8" w:rsidRPr="00932EE8">
        <w:rPr>
          <w:bCs/>
          <w:i/>
        </w:rPr>
        <w:t>Debt Restructuring</w:t>
      </w:r>
    </w:p>
    <w:p w:rsidR="00550AB8" w:rsidRPr="00932EE8" w:rsidRDefault="00550AB8" w:rsidP="00392C2F">
      <w:pPr>
        <w:jc w:val="both"/>
      </w:pPr>
      <w:r w:rsidRPr="00932EE8">
        <w:t xml:space="preserve">The </w:t>
      </w:r>
      <w:r w:rsidR="00DD1084">
        <w:t>County Council</w:t>
      </w:r>
      <w:r w:rsidR="00DD1084" w:rsidRPr="00932EE8">
        <w:t xml:space="preserve"> </w:t>
      </w:r>
      <w:r w:rsidRPr="00932EE8">
        <w:t xml:space="preserve">continuously monitors both its debt portfolio and market conditions to evaluate potential savings from debt restructuring. </w:t>
      </w:r>
    </w:p>
    <w:p w:rsidR="00F71552" w:rsidRPr="00932EE8" w:rsidRDefault="00F71552" w:rsidP="00392C2F">
      <w:pPr>
        <w:rPr>
          <w:b/>
          <w:bCs/>
          <w:sz w:val="28"/>
          <w:szCs w:val="28"/>
        </w:rPr>
      </w:pPr>
    </w:p>
    <w:p w:rsidR="0040630B" w:rsidRPr="00F861B8" w:rsidRDefault="0040630B" w:rsidP="00F861B8">
      <w:pPr>
        <w:pStyle w:val="ListParagraph"/>
        <w:numPr>
          <w:ilvl w:val="0"/>
          <w:numId w:val="36"/>
        </w:numPr>
        <w:rPr>
          <w:b/>
          <w:bCs/>
          <w:sz w:val="28"/>
          <w:szCs w:val="28"/>
        </w:rPr>
      </w:pPr>
      <w:r w:rsidRPr="00F861B8">
        <w:rPr>
          <w:b/>
          <w:bCs/>
          <w:sz w:val="28"/>
          <w:szCs w:val="28"/>
        </w:rPr>
        <w:t>Policy on Borrowing in Advance of Need</w:t>
      </w:r>
    </w:p>
    <w:p w:rsidR="00392C2F" w:rsidRPr="00932EE8" w:rsidRDefault="00392C2F" w:rsidP="00383F1D">
      <w:pPr>
        <w:rPr>
          <w:b/>
          <w:bCs/>
        </w:rPr>
      </w:pPr>
    </w:p>
    <w:p w:rsidR="00D07A73" w:rsidRPr="00932EE8" w:rsidRDefault="0040630B" w:rsidP="00383F1D">
      <w:pPr>
        <w:jc w:val="both"/>
      </w:pPr>
      <w:r w:rsidRPr="00932EE8">
        <w:t xml:space="preserve">The </w:t>
      </w:r>
      <w:r w:rsidR="00D340CC">
        <w:t>C</w:t>
      </w:r>
      <w:r w:rsidR="00F25AD0">
        <w:t xml:space="preserve">ounty </w:t>
      </w:r>
      <w:r w:rsidR="00D340CC">
        <w:t>C</w:t>
      </w:r>
      <w:r w:rsidR="00F25AD0">
        <w:t>ouncil</w:t>
      </w:r>
      <w:r w:rsidRPr="00932EE8">
        <w:t xml:space="preserve"> will not borrow more than or in advance of need </w:t>
      </w:r>
      <w:r w:rsidR="00FC67A8" w:rsidRPr="00932EE8">
        <w:t>with the objective of</w:t>
      </w:r>
      <w:r w:rsidRPr="00932EE8">
        <w:t xml:space="preserve"> profit</w:t>
      </w:r>
      <w:r w:rsidR="00FC67A8" w:rsidRPr="00932EE8">
        <w:t>ing</w:t>
      </w:r>
      <w:r w:rsidRPr="00932EE8">
        <w:t xml:space="preserve"> from the investment of the </w:t>
      </w:r>
      <w:r w:rsidR="00D07A73" w:rsidRPr="00932EE8">
        <w:t xml:space="preserve">additional </w:t>
      </w:r>
      <w:r w:rsidRPr="00932EE8">
        <w:t xml:space="preserve">sums borrowed. </w:t>
      </w:r>
    </w:p>
    <w:p w:rsidR="00256318" w:rsidRPr="00932EE8" w:rsidRDefault="00256318" w:rsidP="00383F1D">
      <w:pPr>
        <w:jc w:val="both"/>
      </w:pPr>
    </w:p>
    <w:p w:rsidR="00D07A73" w:rsidRDefault="006C35ED" w:rsidP="00383F1D">
      <w:pPr>
        <w:jc w:val="both"/>
      </w:pPr>
      <w:r w:rsidRPr="00932EE8">
        <w:t>However, b</w:t>
      </w:r>
      <w:r w:rsidR="00D07A73" w:rsidRPr="00932EE8">
        <w:t>orrowing in advance of need</w:t>
      </w:r>
      <w:r w:rsidR="00FA5EFC">
        <w:t xml:space="preserve"> is appropriate </w:t>
      </w:r>
      <w:r w:rsidR="00D07A73" w:rsidRPr="00932EE8">
        <w:t>in the following circumstances:</w:t>
      </w:r>
    </w:p>
    <w:p w:rsidR="00FA5EFC" w:rsidRPr="00932EE8" w:rsidRDefault="00FA5EFC" w:rsidP="00383F1D">
      <w:pPr>
        <w:jc w:val="both"/>
      </w:pPr>
    </w:p>
    <w:p w:rsidR="00D07A73" w:rsidRPr="00932EE8" w:rsidRDefault="00D07A73" w:rsidP="00383F1D">
      <w:pPr>
        <w:pStyle w:val="ListParagraph"/>
        <w:numPr>
          <w:ilvl w:val="0"/>
          <w:numId w:val="5"/>
        </w:numPr>
        <w:jc w:val="both"/>
      </w:pPr>
      <w:r w:rsidRPr="00932EE8">
        <w:t>Where there is a defined need to finance future capital investment that will materialise in a defined timescale of 2 years or less; and</w:t>
      </w:r>
    </w:p>
    <w:p w:rsidR="00E55677" w:rsidRPr="00932EE8" w:rsidRDefault="00E55677" w:rsidP="00383F1D">
      <w:pPr>
        <w:pStyle w:val="ListParagraph"/>
        <w:jc w:val="both"/>
      </w:pPr>
    </w:p>
    <w:p w:rsidR="00D07A73" w:rsidRPr="00BE3CE5" w:rsidRDefault="00D07A73" w:rsidP="00383F1D">
      <w:pPr>
        <w:pStyle w:val="ListParagraph"/>
        <w:numPr>
          <w:ilvl w:val="0"/>
          <w:numId w:val="5"/>
        </w:numPr>
        <w:jc w:val="both"/>
      </w:pPr>
      <w:r w:rsidRPr="00BE3CE5">
        <w:t xml:space="preserve">Where the most advantageous method of raising capital finance requires the </w:t>
      </w:r>
      <w:r w:rsidR="00D340CC">
        <w:t>C</w:t>
      </w:r>
      <w:r w:rsidR="00F25AD0">
        <w:t xml:space="preserve">ounty </w:t>
      </w:r>
      <w:r w:rsidR="00D340CC">
        <w:t>C</w:t>
      </w:r>
      <w:r w:rsidR="00F25AD0">
        <w:t>ouncil</w:t>
      </w:r>
      <w:r w:rsidRPr="00BE3CE5">
        <w:t xml:space="preserve"> to raise funds in a quantity greater than would be required in any one year, or</w:t>
      </w:r>
    </w:p>
    <w:p w:rsidR="00E55677" w:rsidRPr="00932EE8" w:rsidRDefault="00E55677" w:rsidP="00383F1D">
      <w:pPr>
        <w:pStyle w:val="ListParagraph"/>
        <w:jc w:val="both"/>
      </w:pPr>
    </w:p>
    <w:p w:rsidR="00D07A73" w:rsidRPr="00932EE8" w:rsidRDefault="006C35ED" w:rsidP="00383F1D">
      <w:pPr>
        <w:pStyle w:val="ListParagraph"/>
        <w:numPr>
          <w:ilvl w:val="0"/>
          <w:numId w:val="5"/>
        </w:numPr>
        <w:jc w:val="both"/>
      </w:pPr>
      <w:r w:rsidRPr="00932EE8">
        <w:t xml:space="preserve">Where in the view of the </w:t>
      </w:r>
      <w:r w:rsidR="00CF5E98">
        <w:t>section 151 officer</w:t>
      </w:r>
      <w:r w:rsidRPr="00932EE8">
        <w:t>, based on external advice, the achievement of value for money</w:t>
      </w:r>
      <w:r w:rsidR="00D07A73" w:rsidRPr="00932EE8">
        <w:t xml:space="preserve"> </w:t>
      </w:r>
      <w:r w:rsidRPr="00932EE8">
        <w:t>would be prejudiced by delaying borrowing beyond the 2 year horizon.</w:t>
      </w:r>
    </w:p>
    <w:p w:rsidR="0082655F" w:rsidRPr="00932EE8" w:rsidRDefault="0082655F" w:rsidP="00D07A73">
      <w:pPr>
        <w:spacing w:after="240"/>
        <w:jc w:val="both"/>
      </w:pPr>
      <w:r w:rsidRPr="00932EE8">
        <w:t xml:space="preserve">Having satisfied </w:t>
      </w:r>
      <w:r w:rsidR="00D340CC">
        <w:t xml:space="preserve">any of </w:t>
      </w:r>
      <w:r w:rsidRPr="00932EE8">
        <w:t xml:space="preserve">these criteria </w:t>
      </w:r>
      <w:r w:rsidR="0071599D" w:rsidRPr="00932EE8">
        <w:t>any proposal to borrow in advance of need would also need to be reviewed against the following factors:</w:t>
      </w:r>
    </w:p>
    <w:p w:rsidR="0071599D" w:rsidRPr="00932EE8" w:rsidRDefault="0071599D" w:rsidP="00574AC0">
      <w:pPr>
        <w:numPr>
          <w:ilvl w:val="0"/>
          <w:numId w:val="6"/>
        </w:numPr>
        <w:spacing w:after="240"/>
      </w:pPr>
      <w:r w:rsidRPr="00932EE8">
        <w:t>Whether the ongoing revenue liabilities created, and the implications for the future plans and budgets have been considered and reflected in those plans and budgets</w:t>
      </w:r>
      <w:r w:rsidR="00FC67A8" w:rsidRPr="00932EE8">
        <w:t>, and the value for money of the proposal has been fully evaluated.</w:t>
      </w:r>
    </w:p>
    <w:p w:rsidR="0071599D" w:rsidRPr="00932EE8" w:rsidRDefault="0071599D" w:rsidP="00574AC0">
      <w:pPr>
        <w:numPr>
          <w:ilvl w:val="0"/>
          <w:numId w:val="6"/>
        </w:numPr>
        <w:spacing w:after="240"/>
      </w:pPr>
      <w:r w:rsidRPr="00932EE8">
        <w:t>The merits and demerits of alternative forms of funding.</w:t>
      </w:r>
    </w:p>
    <w:p w:rsidR="0071599D" w:rsidRPr="00932EE8" w:rsidRDefault="0071599D" w:rsidP="00574AC0">
      <w:pPr>
        <w:numPr>
          <w:ilvl w:val="0"/>
          <w:numId w:val="6"/>
        </w:numPr>
        <w:tabs>
          <w:tab w:val="left" w:pos="1418"/>
        </w:tabs>
        <w:spacing w:after="240"/>
        <w:rPr>
          <w:b/>
          <w:bCs/>
        </w:rPr>
      </w:pPr>
      <w:r w:rsidRPr="00932EE8">
        <w:t xml:space="preserve">The alternative interest rate bases available, the most appropriate periods </w:t>
      </w:r>
      <w:r w:rsidR="003F6C29" w:rsidRPr="00932EE8">
        <w:t xml:space="preserve">over which </w:t>
      </w:r>
      <w:r w:rsidRPr="00932EE8">
        <w:t>to fund and repayment profiles to use.</w:t>
      </w:r>
    </w:p>
    <w:p w:rsidR="00AF47E6" w:rsidRPr="00D635B5" w:rsidRDefault="00B45A3F" w:rsidP="00D635B5">
      <w:pPr>
        <w:spacing w:after="240"/>
        <w:jc w:val="both"/>
      </w:pPr>
      <w:r w:rsidRPr="00932EE8">
        <w:t>All decisions will be documented reflecting the assessment of these circumstances and criteria.</w:t>
      </w:r>
    </w:p>
    <w:p w:rsidR="0040630B" w:rsidRPr="00F861B8" w:rsidRDefault="004A19C1" w:rsidP="00F861B8">
      <w:pPr>
        <w:pStyle w:val="ListParagraph"/>
        <w:numPr>
          <w:ilvl w:val="0"/>
          <w:numId w:val="36"/>
        </w:numPr>
        <w:spacing w:after="240"/>
        <w:rPr>
          <w:b/>
          <w:bCs/>
          <w:sz w:val="28"/>
          <w:szCs w:val="28"/>
        </w:rPr>
      </w:pPr>
      <w:r w:rsidRPr="00F861B8">
        <w:rPr>
          <w:b/>
          <w:bCs/>
          <w:sz w:val="28"/>
          <w:szCs w:val="28"/>
        </w:rPr>
        <w:lastRenderedPageBreak/>
        <w:t>Investment Strategy</w:t>
      </w:r>
    </w:p>
    <w:p w:rsidR="00F11AF0" w:rsidRDefault="0068326C" w:rsidP="00F11AF0">
      <w:pPr>
        <w:jc w:val="both"/>
      </w:pPr>
      <w:r w:rsidRPr="00F0114F">
        <w:t>In making any investments of the reserves and other cash items held within its balance sheet t</w:t>
      </w:r>
      <w:r w:rsidR="0040630B" w:rsidRPr="00F0114F">
        <w:t xml:space="preserve">he </w:t>
      </w:r>
      <w:r w:rsidR="00F11AF0">
        <w:t>C</w:t>
      </w:r>
      <w:r w:rsidR="00F25AD0">
        <w:t xml:space="preserve">ounty </w:t>
      </w:r>
      <w:r w:rsidR="00F11AF0">
        <w:t>C</w:t>
      </w:r>
      <w:r w:rsidR="00F25AD0">
        <w:t>ouncil</w:t>
      </w:r>
      <w:r w:rsidR="0040630B" w:rsidRPr="00F0114F">
        <w:t xml:space="preserve"> </w:t>
      </w:r>
      <w:r w:rsidRPr="00F0114F">
        <w:t>must</w:t>
      </w:r>
      <w:r w:rsidR="0040630B" w:rsidRPr="00F0114F">
        <w:t xml:space="preserve"> have regard to the</w:t>
      </w:r>
      <w:r w:rsidRPr="00F0114F">
        <w:t xml:space="preserve"> relevant regulations under the Local Government Act 2003, the </w:t>
      </w:r>
      <w:r w:rsidR="00013E6E" w:rsidRPr="00F0114F">
        <w:t xml:space="preserve">CLG </w:t>
      </w:r>
      <w:r w:rsidR="0040630B" w:rsidRPr="00F0114F">
        <w:t xml:space="preserve">Guidance on Local Government Investments, and the </w:t>
      </w:r>
      <w:r w:rsidR="00550AB8" w:rsidRPr="00F0114F">
        <w:t xml:space="preserve">latest revision of the </w:t>
      </w:r>
      <w:r w:rsidR="0040630B" w:rsidRPr="00F0114F">
        <w:t>CIPFA Treasury Management in Public Services Code of Practice</w:t>
      </w:r>
      <w:r w:rsidR="00F11AF0">
        <w:t xml:space="preserve"> (2011) </w:t>
      </w:r>
      <w:r w:rsidR="0040630B" w:rsidRPr="00F0114F">
        <w:t xml:space="preserve">and </w:t>
      </w:r>
      <w:r w:rsidR="00F11AF0">
        <w:t xml:space="preserve">other relevant publications such as </w:t>
      </w:r>
      <w:r w:rsidR="00F11AF0" w:rsidRPr="005262E1">
        <w:t xml:space="preserve">'Treasury </w:t>
      </w:r>
      <w:r w:rsidR="00F11AF0">
        <w:t>Risk</w:t>
      </w:r>
      <w:r w:rsidR="00F11AF0" w:rsidRPr="005262E1">
        <w:t xml:space="preserve"> Toolkit for Local Authorities' (2012) and 'Using Financial Instruments to Manage Risk' (2013</w:t>
      </w:r>
      <w:r w:rsidR="00F11AF0">
        <w:t>.</w:t>
      </w:r>
      <w:r w:rsidR="00F11AF0" w:rsidRPr="005262E1">
        <w:t>)</w:t>
      </w:r>
    </w:p>
    <w:p w:rsidR="00F11AF0" w:rsidRDefault="00F11AF0" w:rsidP="00F11AF0">
      <w:pPr>
        <w:jc w:val="both"/>
      </w:pPr>
    </w:p>
    <w:p w:rsidR="00F11AF0" w:rsidRDefault="00057766" w:rsidP="0082655F">
      <w:pPr>
        <w:jc w:val="both"/>
      </w:pPr>
      <w:r>
        <w:t xml:space="preserve">However it is the </w:t>
      </w:r>
      <w:r w:rsidR="00757FFD" w:rsidRPr="00BF0506">
        <w:t xml:space="preserve">opinion of </w:t>
      </w:r>
      <w:r w:rsidR="00F11AF0" w:rsidRPr="00BF0506">
        <w:t xml:space="preserve">LCC </w:t>
      </w:r>
      <w:r w:rsidR="00757FFD" w:rsidRPr="00BF0506">
        <w:t>treasury management,</w:t>
      </w:r>
      <w:r w:rsidR="00F11AF0" w:rsidRPr="00BF0506">
        <w:t xml:space="preserve"> along with </w:t>
      </w:r>
      <w:r>
        <w:t xml:space="preserve">treasury advisors </w:t>
      </w:r>
      <w:proofErr w:type="spellStart"/>
      <w:r w:rsidR="00F11AF0" w:rsidRPr="00BF0506">
        <w:t>Arlingclose</w:t>
      </w:r>
      <w:proofErr w:type="spellEnd"/>
      <w:r w:rsidR="00F11AF0" w:rsidRPr="00BF0506">
        <w:t xml:space="preserve"> Ltd</w:t>
      </w:r>
      <w:r w:rsidR="00757FFD" w:rsidRPr="00BF0506">
        <w:t xml:space="preserve">, that </w:t>
      </w:r>
      <w:r w:rsidR="00F11AF0" w:rsidRPr="00BF0506">
        <w:t xml:space="preserve">the CIPFA TM Code of Practice should be revised to properly categorise the risk </w:t>
      </w:r>
      <w:r w:rsidR="00757FFD" w:rsidRPr="00BF0506">
        <w:t>to local authorities of investing using unsecured</w:t>
      </w:r>
      <w:r w:rsidR="00F11AF0" w:rsidRPr="00BF0506">
        <w:t xml:space="preserve"> term </w:t>
      </w:r>
      <w:r w:rsidR="00610538" w:rsidRPr="00BF0506">
        <w:t xml:space="preserve">bank </w:t>
      </w:r>
      <w:r w:rsidR="00F11AF0" w:rsidRPr="00BF0506">
        <w:t>depos</w:t>
      </w:r>
      <w:r w:rsidR="00757FFD" w:rsidRPr="00BF0506">
        <w:t>its</w:t>
      </w:r>
      <w:r w:rsidR="00F11AF0" w:rsidRPr="00BF0506">
        <w:t xml:space="preserve"> and remove the emphasis </w:t>
      </w:r>
      <w:r w:rsidR="00757FFD" w:rsidRPr="00BF0506">
        <w:t xml:space="preserve">the code </w:t>
      </w:r>
      <w:r w:rsidR="00610538" w:rsidRPr="00BF0506">
        <w:t>place</w:t>
      </w:r>
      <w:r w:rsidR="00757FFD" w:rsidRPr="00BF0506">
        <w:t>s</w:t>
      </w:r>
      <w:r w:rsidRPr="00BF0506">
        <w:t xml:space="preserve"> </w:t>
      </w:r>
      <w:r w:rsidR="00610538" w:rsidRPr="00BF0506">
        <w:t xml:space="preserve">on them </w:t>
      </w:r>
      <w:r w:rsidR="00F11AF0" w:rsidRPr="00BF0506">
        <w:t xml:space="preserve">as a low risk </w:t>
      </w:r>
      <w:r w:rsidR="00610538" w:rsidRPr="00BF0506">
        <w:t xml:space="preserve">specified </w:t>
      </w:r>
      <w:r w:rsidR="00F11AF0" w:rsidRPr="00BF0506">
        <w:t>investment instrument</w:t>
      </w:r>
      <w:r w:rsidRPr="00BF0506">
        <w:t>s.</w:t>
      </w:r>
      <w:r w:rsidR="00F11AF0">
        <w:t xml:space="preserve"> </w:t>
      </w:r>
    </w:p>
    <w:p w:rsidR="00F11AF0" w:rsidRDefault="00057766" w:rsidP="0082655F">
      <w:pPr>
        <w:jc w:val="both"/>
      </w:pPr>
      <w:r>
        <w:t>The</w:t>
      </w:r>
      <w:r w:rsidR="0079043D">
        <w:t xml:space="preserve"> CIPFA TM Panel has requested from CLG consideration of this issue with regard to investment regulation</w:t>
      </w:r>
      <w:r>
        <w:t xml:space="preserve"> and</w:t>
      </w:r>
      <w:r w:rsidR="0079043D">
        <w:t xml:space="preserve"> CLG have agreed to give th</w:t>
      </w:r>
      <w:r>
        <w:t>e issue</w:t>
      </w:r>
      <w:r w:rsidR="0079043D">
        <w:t xml:space="preserve"> consideration.</w:t>
      </w:r>
    </w:p>
    <w:p w:rsidR="0079043D" w:rsidRDefault="0079043D" w:rsidP="0082655F">
      <w:pPr>
        <w:jc w:val="both"/>
      </w:pPr>
    </w:p>
    <w:p w:rsidR="0040630B" w:rsidRPr="00F0114F" w:rsidRDefault="0040630B" w:rsidP="0082655F">
      <w:pPr>
        <w:jc w:val="both"/>
      </w:pPr>
      <w:r w:rsidRPr="00F0114F">
        <w:t xml:space="preserve">The </w:t>
      </w:r>
      <w:r w:rsidR="003C3BD1">
        <w:t>C</w:t>
      </w:r>
      <w:r w:rsidRPr="00F0114F">
        <w:t xml:space="preserve">ouncil’s investment priorities are: - </w:t>
      </w:r>
    </w:p>
    <w:p w:rsidR="0040630B" w:rsidRPr="00F0114F" w:rsidRDefault="0040630B" w:rsidP="0040630B">
      <w:pPr>
        <w:ind w:left="851" w:firstLine="851"/>
        <w:jc w:val="both"/>
      </w:pPr>
    </w:p>
    <w:p w:rsidR="0040630B" w:rsidRPr="00F0114F" w:rsidRDefault="0040630B" w:rsidP="0040630B">
      <w:pPr>
        <w:spacing w:before="45" w:after="45"/>
        <w:ind w:left="851" w:firstLine="851"/>
        <w:jc w:val="both"/>
      </w:pPr>
      <w:r w:rsidRPr="00F0114F">
        <w:t>(a)</w:t>
      </w:r>
      <w:r w:rsidR="00025990" w:rsidRPr="00F0114F">
        <w:tab/>
      </w:r>
      <w:r w:rsidRPr="00F0114F">
        <w:t>The security of capital</w:t>
      </w:r>
      <w:r w:rsidR="006D1BFA" w:rsidRPr="00F0114F">
        <w:t>,</w:t>
      </w:r>
      <w:r w:rsidRPr="00F0114F">
        <w:t xml:space="preserve"> and </w:t>
      </w:r>
    </w:p>
    <w:p w:rsidR="0040630B" w:rsidRPr="00F0114F" w:rsidRDefault="00025990" w:rsidP="0040630B">
      <w:pPr>
        <w:spacing w:before="45" w:after="45"/>
        <w:ind w:left="851" w:firstLine="851"/>
        <w:jc w:val="both"/>
      </w:pPr>
      <w:r w:rsidRPr="00F0114F">
        <w:t>(b)</w:t>
      </w:r>
      <w:r w:rsidRPr="00F0114F">
        <w:tab/>
      </w:r>
      <w:r w:rsidR="0040630B" w:rsidRPr="00F0114F">
        <w:t xml:space="preserve">The liquidity of its investments. </w:t>
      </w:r>
    </w:p>
    <w:p w:rsidR="0040630B" w:rsidRPr="00F0114F" w:rsidRDefault="0040630B" w:rsidP="0040630B">
      <w:pPr>
        <w:spacing w:before="45" w:after="45"/>
        <w:ind w:left="851" w:firstLine="851"/>
        <w:jc w:val="both"/>
      </w:pPr>
    </w:p>
    <w:p w:rsidR="001D2E3E" w:rsidRPr="00F0114F" w:rsidRDefault="0040630B" w:rsidP="00D635B5">
      <w:pPr>
        <w:spacing w:after="240"/>
        <w:jc w:val="both"/>
      </w:pPr>
      <w:r w:rsidRPr="00F0114F">
        <w:t xml:space="preserve">The </w:t>
      </w:r>
      <w:r w:rsidR="00F11AF0">
        <w:t>C</w:t>
      </w:r>
      <w:r w:rsidR="00F25AD0">
        <w:t xml:space="preserve">ounty </w:t>
      </w:r>
      <w:r w:rsidR="00F11AF0">
        <w:t>C</w:t>
      </w:r>
      <w:r w:rsidR="00F25AD0">
        <w:t>ouncil</w:t>
      </w:r>
      <w:r w:rsidRPr="00F0114F">
        <w:t xml:space="preserve"> will also aim to achieve the optimum return on its investments commensurate with proper levels of security and liquidity. The risk appetite of th</w:t>
      </w:r>
      <w:r w:rsidR="0068326C" w:rsidRPr="00F0114F">
        <w:t xml:space="preserve">e </w:t>
      </w:r>
      <w:r w:rsidR="00610538">
        <w:t>C</w:t>
      </w:r>
      <w:r w:rsidR="00F25AD0">
        <w:t xml:space="preserve">ounty </w:t>
      </w:r>
      <w:r w:rsidR="00610538">
        <w:t>C</w:t>
      </w:r>
      <w:r w:rsidR="00F25AD0">
        <w:t>ouncil</w:t>
      </w:r>
      <w:r w:rsidRPr="00F0114F">
        <w:t xml:space="preserve"> is low in order to give priority to security of its investments.</w:t>
      </w:r>
    </w:p>
    <w:p w:rsidR="00982D55" w:rsidRDefault="001D2E3E" w:rsidP="00D635B5">
      <w:pPr>
        <w:jc w:val="both"/>
      </w:pPr>
      <w:r w:rsidRPr="00F0114F">
        <w:t xml:space="preserve">The counterparty credit matrix </w:t>
      </w:r>
      <w:r w:rsidR="008D79FF" w:rsidRPr="00F0114F">
        <w:t xml:space="preserve">is </w:t>
      </w:r>
      <w:r w:rsidRPr="00F0114F">
        <w:t xml:space="preserve">at the heart of Lancashire </w:t>
      </w:r>
      <w:r w:rsidR="00982D55">
        <w:t>C</w:t>
      </w:r>
      <w:r w:rsidR="00F25AD0">
        <w:t xml:space="preserve">ounty </w:t>
      </w:r>
      <w:r w:rsidR="00982D55">
        <w:t>C</w:t>
      </w:r>
      <w:r w:rsidR="00F25AD0">
        <w:t>ouncil</w:t>
      </w:r>
      <w:r w:rsidRPr="00F0114F">
        <w:t xml:space="preserve">'s Treasury Management Policy and Strategy </w:t>
      </w:r>
      <w:r w:rsidR="008D79FF" w:rsidRPr="00F0114F">
        <w:t xml:space="preserve">and has always been </w:t>
      </w:r>
      <w:r w:rsidRPr="00F0114F">
        <w:t xml:space="preserve">conservatively constructed to protect the </w:t>
      </w:r>
      <w:r w:rsidR="00DB4AB1">
        <w:t>C</w:t>
      </w:r>
      <w:r w:rsidR="00F25AD0">
        <w:t xml:space="preserve">ounty </w:t>
      </w:r>
      <w:r w:rsidR="00DB4AB1">
        <w:t>C</w:t>
      </w:r>
      <w:r w:rsidR="00F25AD0">
        <w:t>ouncil</w:t>
      </w:r>
      <w:r w:rsidRPr="00F0114F">
        <w:t xml:space="preserve"> against credit risk whilst allowing for efficient and prudent investment activity</w:t>
      </w:r>
      <w:r w:rsidR="008D79FF" w:rsidRPr="00F0114F">
        <w:t>.</w:t>
      </w:r>
      <w:r w:rsidRPr="00F0114F">
        <w:t xml:space="preserve"> </w:t>
      </w:r>
    </w:p>
    <w:p w:rsidR="0061423D" w:rsidRDefault="0061423D" w:rsidP="00D635B5">
      <w:pPr>
        <w:jc w:val="both"/>
      </w:pPr>
    </w:p>
    <w:p w:rsidR="00BF289B" w:rsidRDefault="002925C3" w:rsidP="00D635B5">
      <w:pPr>
        <w:jc w:val="both"/>
        <w:rPr>
          <w:b/>
        </w:rPr>
      </w:pPr>
      <w:r>
        <w:t xml:space="preserve">However, the </w:t>
      </w:r>
      <w:r w:rsidR="0020514C">
        <w:t>County C</w:t>
      </w:r>
      <w:r w:rsidR="00F25AD0">
        <w:t>ouncil</w:t>
      </w:r>
      <w:r>
        <w:t xml:space="preserve"> does not rely solely on credit ratings in assessing counterparties. Other market information is also monitored such as information from the </w:t>
      </w:r>
      <w:r w:rsidRPr="00F0114F">
        <w:t>credit default swap (CDS) market</w:t>
      </w:r>
      <w:r>
        <w:t xml:space="preserve"> and any press releases in general, thus ensuring the </w:t>
      </w:r>
      <w:r w:rsidR="00DB4AB1">
        <w:t>C</w:t>
      </w:r>
      <w:r w:rsidR="00BF289B" w:rsidRPr="00F0114F">
        <w:t>ouncil transacts with only the highest quality counter-parties</w:t>
      </w:r>
      <w:r w:rsidR="00BF289B" w:rsidRPr="00F0114F">
        <w:rPr>
          <w:b/>
        </w:rPr>
        <w:t xml:space="preserve">.  </w:t>
      </w:r>
    </w:p>
    <w:p w:rsidR="0061423D" w:rsidRDefault="0061423D" w:rsidP="00D635B5">
      <w:pPr>
        <w:jc w:val="both"/>
        <w:rPr>
          <w:b/>
        </w:rPr>
      </w:pPr>
    </w:p>
    <w:p w:rsidR="0061423D" w:rsidRPr="00F861B8" w:rsidRDefault="0061423D" w:rsidP="00D635B5">
      <w:pPr>
        <w:jc w:val="both"/>
      </w:pPr>
      <w:r w:rsidRPr="00F861B8">
        <w:t xml:space="preserve">The </w:t>
      </w:r>
      <w:r w:rsidR="00DB4AB1">
        <w:t>C</w:t>
      </w:r>
      <w:r w:rsidRPr="00F861B8">
        <w:t xml:space="preserve">ouncil requires very high credit ratings for an organisation to be considered a suitable counterparty for investment purposes. Despite a number of downgrades within the financial sector the </w:t>
      </w:r>
      <w:r w:rsidR="00DB4AB1">
        <w:t>C</w:t>
      </w:r>
      <w:r w:rsidRPr="00F861B8">
        <w:t xml:space="preserve">ounty </w:t>
      </w:r>
      <w:r w:rsidR="00DB4AB1">
        <w:t>C</w:t>
      </w:r>
      <w:r w:rsidRPr="00F861B8">
        <w:t xml:space="preserve">ouncil has not reduced the credit ratings required </w:t>
      </w:r>
      <w:r w:rsidR="00DB4AB1">
        <w:t>of</w:t>
      </w:r>
      <w:r w:rsidRPr="00F861B8">
        <w:t xml:space="preserve"> its counterparties, but has maintained the existing very high ratings required for short, medium and long term investments.</w:t>
      </w:r>
      <w:r w:rsidR="006B5382" w:rsidRPr="006B5382">
        <w:t xml:space="preserve"> </w:t>
      </w:r>
      <w:r w:rsidRPr="00F861B8">
        <w:t>These are set out below:</w:t>
      </w:r>
    </w:p>
    <w:p w:rsidR="00BF289B" w:rsidRPr="00F0114F" w:rsidRDefault="00BF289B" w:rsidP="00D635B5">
      <w:pPr>
        <w:numPr>
          <w:ilvl w:val="0"/>
          <w:numId w:val="14"/>
        </w:numPr>
        <w:jc w:val="both"/>
      </w:pPr>
      <w:r w:rsidRPr="00F0114F">
        <w:rPr>
          <w:b/>
        </w:rPr>
        <w:t>For short term lending of up to 1 year</w:t>
      </w:r>
      <w:r w:rsidRPr="00F0114F">
        <w:t xml:space="preserve"> </w:t>
      </w:r>
      <w:r w:rsidR="00DB4AB1">
        <w:t xml:space="preserve">- </w:t>
      </w:r>
      <w:r w:rsidRPr="00F0114F">
        <w:t>that the short term ratings from the ratings agencies be used and that a counter-party must have a minimum of the following:</w:t>
      </w:r>
    </w:p>
    <w:p w:rsidR="00BF289B" w:rsidRPr="00F0114F" w:rsidRDefault="00BF289B" w:rsidP="00D635B5">
      <w:pPr>
        <w:ind w:firstLine="720"/>
        <w:jc w:val="both"/>
      </w:pPr>
    </w:p>
    <w:p w:rsidR="00BF289B" w:rsidRPr="00F0114F" w:rsidRDefault="00BF289B" w:rsidP="00D635B5">
      <w:pPr>
        <w:ind w:firstLine="720"/>
        <w:jc w:val="both"/>
      </w:pPr>
      <w:r w:rsidRPr="00F0114F">
        <w:t>Moody's.  P1</w:t>
      </w:r>
    </w:p>
    <w:p w:rsidR="00BF289B" w:rsidRPr="00F0114F" w:rsidRDefault="00BF289B" w:rsidP="00D635B5">
      <w:pPr>
        <w:ind w:firstLine="720"/>
        <w:jc w:val="both"/>
      </w:pPr>
      <w:r w:rsidRPr="00F0114F">
        <w:t>S&amp;P         A1</w:t>
      </w:r>
    </w:p>
    <w:p w:rsidR="00BF289B" w:rsidRPr="00F0114F" w:rsidRDefault="00BF289B" w:rsidP="00D635B5">
      <w:pPr>
        <w:ind w:firstLine="720"/>
        <w:jc w:val="both"/>
      </w:pPr>
      <w:r w:rsidRPr="00F0114F">
        <w:t>Fitch.       F1</w:t>
      </w:r>
    </w:p>
    <w:p w:rsidR="00BF289B" w:rsidRPr="00F0114F" w:rsidRDefault="00BF289B" w:rsidP="00D635B5">
      <w:pPr>
        <w:jc w:val="both"/>
      </w:pPr>
    </w:p>
    <w:p w:rsidR="00BF289B" w:rsidRPr="00F0114F" w:rsidRDefault="00BF289B" w:rsidP="00D635B5">
      <w:pPr>
        <w:ind w:left="426"/>
        <w:jc w:val="both"/>
      </w:pPr>
      <w:r w:rsidRPr="00F0114F">
        <w:lastRenderedPageBreak/>
        <w:t xml:space="preserve">Short term ratings were specifically created by the agencies for money market investors as they reflect specifically the liquidity positions of the institutions concerned. </w:t>
      </w:r>
    </w:p>
    <w:p w:rsidR="00BF289B" w:rsidRPr="00F0114F" w:rsidRDefault="00BF289B" w:rsidP="00D635B5">
      <w:pPr>
        <w:jc w:val="both"/>
      </w:pPr>
    </w:p>
    <w:p w:rsidR="00BF289B" w:rsidRPr="00F0114F" w:rsidRDefault="00BF289B" w:rsidP="00D635B5">
      <w:pPr>
        <w:numPr>
          <w:ilvl w:val="0"/>
          <w:numId w:val="14"/>
        </w:numPr>
        <w:jc w:val="both"/>
      </w:pPr>
      <w:r w:rsidRPr="00F0114F">
        <w:rPr>
          <w:b/>
        </w:rPr>
        <w:t>For medium term investments</w:t>
      </w:r>
      <w:r w:rsidRPr="00F0114F">
        <w:t xml:space="preserve"> in </w:t>
      </w:r>
      <w:r w:rsidR="00E8740A" w:rsidRPr="00F0114F">
        <w:t xml:space="preserve">the </w:t>
      </w:r>
      <w:r w:rsidRPr="00F0114F">
        <w:t>form of tradeable bonds or certificates of deposit (1yr to 5yrs, where immediate liquidation can be demonstrated), a blended average of the ratings</w:t>
      </w:r>
      <w:r w:rsidR="00FA5EFC">
        <w:t xml:space="preserve"> will</w:t>
      </w:r>
      <w:r w:rsidRPr="00F0114F">
        <w:t xml:space="preserve"> be taken (averaging  across all available ratings) , with a minimum of:</w:t>
      </w:r>
    </w:p>
    <w:p w:rsidR="00BF289B" w:rsidRPr="00F0114F" w:rsidRDefault="00BF289B" w:rsidP="00D635B5">
      <w:pPr>
        <w:jc w:val="both"/>
      </w:pPr>
    </w:p>
    <w:p w:rsidR="00BF289B" w:rsidRPr="00F0114F" w:rsidRDefault="00BF289B" w:rsidP="00D635B5">
      <w:pPr>
        <w:numPr>
          <w:ilvl w:val="0"/>
          <w:numId w:val="15"/>
        </w:numPr>
        <w:jc w:val="both"/>
      </w:pPr>
      <w:r w:rsidRPr="00F0114F">
        <w:t>Long term AA3/AA-,  and</w:t>
      </w:r>
    </w:p>
    <w:p w:rsidR="00BF289B" w:rsidRPr="00F0114F" w:rsidRDefault="00BF289B" w:rsidP="00D635B5">
      <w:pPr>
        <w:numPr>
          <w:ilvl w:val="0"/>
          <w:numId w:val="15"/>
        </w:numPr>
        <w:jc w:val="both"/>
      </w:pPr>
      <w:r w:rsidRPr="00F0114F">
        <w:t xml:space="preserve">Short term P1/F1+/A1+ </w:t>
      </w:r>
    </w:p>
    <w:p w:rsidR="00BF289B" w:rsidRPr="00F0114F" w:rsidRDefault="00BF289B" w:rsidP="00D635B5">
      <w:pPr>
        <w:ind w:left="720"/>
        <w:jc w:val="both"/>
      </w:pPr>
    </w:p>
    <w:p w:rsidR="00BF289B" w:rsidRPr="00F0114F" w:rsidRDefault="00BF289B" w:rsidP="00D635B5">
      <w:pPr>
        <w:numPr>
          <w:ilvl w:val="0"/>
          <w:numId w:val="14"/>
        </w:numPr>
        <w:jc w:val="both"/>
      </w:pPr>
      <w:r w:rsidRPr="00F0114F">
        <w:rPr>
          <w:b/>
        </w:rPr>
        <w:t>For longer term investments (5yrs and above</w:t>
      </w:r>
      <w:r w:rsidR="00E8740A" w:rsidRPr="00F0114F">
        <w:rPr>
          <w:b/>
        </w:rPr>
        <w:t>)</w:t>
      </w:r>
      <w:r w:rsidRPr="00F0114F">
        <w:t xml:space="preserve"> in</w:t>
      </w:r>
      <w:r w:rsidR="00E8740A" w:rsidRPr="00F0114F">
        <w:t xml:space="preserve"> the</w:t>
      </w:r>
      <w:r w:rsidRPr="00F0114F">
        <w:t xml:space="preserve"> form of tradeable bonds where immediate liquidation can be demonstrated, a blended average of the ratings</w:t>
      </w:r>
      <w:r w:rsidR="00FA5EFC">
        <w:t xml:space="preserve"> will</w:t>
      </w:r>
      <w:r w:rsidRPr="00F0114F">
        <w:t xml:space="preserve"> be taken, with a minimum of:</w:t>
      </w:r>
    </w:p>
    <w:p w:rsidR="00BF289B" w:rsidRPr="00F0114F" w:rsidRDefault="00BF289B" w:rsidP="00D635B5">
      <w:pPr>
        <w:ind w:left="720"/>
        <w:jc w:val="both"/>
      </w:pPr>
    </w:p>
    <w:p w:rsidR="00BF289B" w:rsidRPr="00F0114F" w:rsidRDefault="00BF289B" w:rsidP="00D635B5">
      <w:pPr>
        <w:numPr>
          <w:ilvl w:val="0"/>
          <w:numId w:val="16"/>
        </w:numPr>
        <w:jc w:val="both"/>
      </w:pPr>
      <w:r w:rsidRPr="00F0114F">
        <w:t>Long term AA2/AA</w:t>
      </w:r>
    </w:p>
    <w:p w:rsidR="00BF289B" w:rsidRPr="00F0114F" w:rsidRDefault="00BF289B" w:rsidP="00D635B5">
      <w:pPr>
        <w:numPr>
          <w:ilvl w:val="0"/>
          <w:numId w:val="16"/>
        </w:numPr>
        <w:jc w:val="both"/>
      </w:pPr>
      <w:r w:rsidRPr="00F0114F">
        <w:t>Short term P1/A1+/F1+</w:t>
      </w:r>
    </w:p>
    <w:p w:rsidR="00BF289B" w:rsidRPr="001143BB" w:rsidRDefault="00BF289B" w:rsidP="00D635B5">
      <w:pPr>
        <w:ind w:left="720"/>
        <w:jc w:val="both"/>
        <w:rPr>
          <w:highlight w:val="yellow"/>
        </w:rPr>
      </w:pPr>
    </w:p>
    <w:p w:rsidR="00BF289B" w:rsidRPr="001143BB" w:rsidRDefault="00BF289B" w:rsidP="00D635B5">
      <w:pPr>
        <w:ind w:left="720"/>
        <w:jc w:val="both"/>
        <w:rPr>
          <w:highlight w:val="yellow"/>
        </w:rPr>
      </w:pPr>
    </w:p>
    <w:p w:rsidR="00536BC9" w:rsidRPr="007079C4" w:rsidRDefault="00D558CB" w:rsidP="00D635B5">
      <w:pPr>
        <w:jc w:val="both"/>
      </w:pPr>
      <w:r w:rsidRPr="007079C4">
        <w:t xml:space="preserve">The detailed calculation methodology of the blended average will be agreed with the </w:t>
      </w:r>
      <w:r w:rsidR="00F25AD0">
        <w:t>c</w:t>
      </w:r>
      <w:r w:rsidRPr="007079C4">
        <w:t xml:space="preserve">ouncil's advisers and set out in the </w:t>
      </w:r>
      <w:r w:rsidR="00DB4AB1">
        <w:t>t</w:t>
      </w:r>
      <w:r w:rsidRPr="007079C4">
        <w:t xml:space="preserve">reasury </w:t>
      </w:r>
      <w:r w:rsidR="00DB4AB1">
        <w:t>m</w:t>
      </w:r>
      <w:r w:rsidRPr="007079C4">
        <w:t xml:space="preserve">anagement </w:t>
      </w:r>
      <w:r w:rsidR="00DB4AB1">
        <w:t>p</w:t>
      </w:r>
      <w:r w:rsidRPr="007079C4">
        <w:t>ractices</w:t>
      </w:r>
      <w:r w:rsidR="00DB4AB1">
        <w:t xml:space="preserve"> document</w:t>
      </w:r>
      <w:r w:rsidRPr="007079C4">
        <w:t>.</w:t>
      </w:r>
    </w:p>
    <w:p w:rsidR="00536BC9" w:rsidRPr="007079C4" w:rsidRDefault="00536BC9" w:rsidP="00D635B5">
      <w:pPr>
        <w:jc w:val="both"/>
      </w:pPr>
    </w:p>
    <w:p w:rsidR="00C06EC5" w:rsidRPr="007079C4" w:rsidRDefault="00C06EC5" w:rsidP="00D635B5">
      <w:pPr>
        <w:spacing w:after="240"/>
        <w:jc w:val="both"/>
      </w:pPr>
      <w:r w:rsidRPr="007079C4">
        <w:t xml:space="preserve">The limits for scale and duration of investment in specific categories which form the </w:t>
      </w:r>
      <w:r w:rsidR="00272267" w:rsidRPr="007079C4">
        <w:t>201</w:t>
      </w:r>
      <w:r w:rsidR="00DB4AB1">
        <w:t>6</w:t>
      </w:r>
      <w:r w:rsidR="00FB0846">
        <w:t>/</w:t>
      </w:r>
      <w:r w:rsidR="00272267" w:rsidRPr="007079C4">
        <w:t>1</w:t>
      </w:r>
      <w:r w:rsidR="00DB4AB1">
        <w:t>7</w:t>
      </w:r>
      <w:r w:rsidR="00272267" w:rsidRPr="007079C4">
        <w:t xml:space="preserve"> </w:t>
      </w:r>
      <w:r w:rsidRPr="007079C4">
        <w:t xml:space="preserve">investment </w:t>
      </w:r>
      <w:r w:rsidR="00FA5EFC">
        <w:t>strategy</w:t>
      </w:r>
      <w:r w:rsidRPr="007079C4">
        <w:t xml:space="preserve"> are set out in the table below. </w:t>
      </w:r>
    </w:p>
    <w:p w:rsidR="00C06EC5" w:rsidRPr="007079C4" w:rsidRDefault="0020514C" w:rsidP="00D635B5">
      <w:pPr>
        <w:spacing w:after="240"/>
        <w:jc w:val="both"/>
      </w:pPr>
      <w:r>
        <w:t>If</w:t>
      </w:r>
      <w:r w:rsidR="00C06EC5" w:rsidRPr="007079C4">
        <w:t xml:space="preserve"> </w:t>
      </w:r>
      <w:r>
        <w:t xml:space="preserve">the counterparty of </w:t>
      </w:r>
      <w:r w:rsidR="00C06EC5" w:rsidRPr="007079C4">
        <w:t>an existing investment</w:t>
      </w:r>
      <w:r>
        <w:t xml:space="preserve"> falls outside the policy</w:t>
      </w:r>
      <w:r w:rsidR="00C06EC5" w:rsidRPr="007079C4">
        <w:t xml:space="preserve"> due to a change in credit rating,</w:t>
      </w:r>
      <w:r>
        <w:t xml:space="preserve"> </w:t>
      </w:r>
      <w:r w:rsidR="00C06EC5" w:rsidRPr="007079C4">
        <w:t>full consideration will be made, taking into account all relevant information, as to whether a premature settlement of the investment should be negotiated</w:t>
      </w:r>
      <w:r>
        <w:t>.</w:t>
      </w:r>
    </w:p>
    <w:p w:rsidR="00FE721D" w:rsidRDefault="00C06EC5" w:rsidP="00D635B5">
      <w:pPr>
        <w:spacing w:after="240"/>
        <w:jc w:val="both"/>
      </w:pPr>
      <w:r w:rsidRPr="007079C4">
        <w:t>The minimum sovereign rating for investment is AA</w:t>
      </w:r>
      <w:r w:rsidR="0061423D">
        <w:t>-</w:t>
      </w:r>
      <w:r w:rsidR="007079C4" w:rsidRPr="007079C4">
        <w:t>.</w:t>
      </w:r>
    </w:p>
    <w:p w:rsidR="00FA5EFC" w:rsidRDefault="00FA5EFC" w:rsidP="00D635B5">
      <w:pPr>
        <w:spacing w:after="240"/>
        <w:jc w:val="both"/>
      </w:pPr>
      <w:r>
        <w:t>The table below shows the approved investment Counterparties and Limits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486"/>
        <w:gridCol w:w="1351"/>
        <w:gridCol w:w="1351"/>
        <w:gridCol w:w="1890"/>
      </w:tblGrid>
      <w:tr w:rsidR="00217176" w:rsidRPr="00A036BF" w:rsidTr="00F861B8">
        <w:trPr>
          <w:trHeight w:val="1271"/>
          <w:tblHeader/>
        </w:trPr>
        <w:tc>
          <w:tcPr>
            <w:tcW w:w="1630" w:type="pct"/>
            <w:vAlign w:val="center"/>
          </w:tcPr>
          <w:p w:rsidR="007079C4" w:rsidRPr="00A036BF" w:rsidRDefault="007079C4" w:rsidP="00C06EC5">
            <w:pPr>
              <w:jc w:val="center"/>
              <w:rPr>
                <w:b/>
                <w:bCs/>
                <w:sz w:val="20"/>
                <w:szCs w:val="20"/>
              </w:rPr>
            </w:pPr>
            <w:r w:rsidRPr="00A036BF">
              <w:rPr>
                <w:b/>
                <w:bCs/>
                <w:sz w:val="20"/>
                <w:szCs w:val="20"/>
              </w:rPr>
              <w:t>Instrument</w:t>
            </w:r>
          </w:p>
        </w:tc>
        <w:tc>
          <w:tcPr>
            <w:tcW w:w="824" w:type="pct"/>
            <w:vAlign w:val="center"/>
          </w:tcPr>
          <w:p w:rsidR="007079C4" w:rsidRPr="00A036BF" w:rsidRDefault="005300A7" w:rsidP="00C06EC5">
            <w:pPr>
              <w:jc w:val="center"/>
              <w:rPr>
                <w:b/>
                <w:bCs/>
                <w:sz w:val="20"/>
                <w:szCs w:val="20"/>
              </w:rPr>
            </w:pPr>
            <w:r>
              <w:rPr>
                <w:b/>
                <w:bCs/>
                <w:sz w:val="20"/>
                <w:szCs w:val="20"/>
              </w:rPr>
              <w:t xml:space="preserve">Minimum </w:t>
            </w:r>
            <w:r w:rsidR="007079C4" w:rsidRPr="00A036BF">
              <w:rPr>
                <w:b/>
                <w:bCs/>
                <w:sz w:val="20"/>
                <w:szCs w:val="20"/>
              </w:rPr>
              <w:t>Credit Rating</w:t>
            </w:r>
            <w:r w:rsidR="007079C4" w:rsidRPr="00A036BF">
              <w:rPr>
                <w:b/>
                <w:bCs/>
                <w:sz w:val="20"/>
                <w:szCs w:val="20"/>
              </w:rPr>
              <w:br/>
              <w:t>(blended average)</w:t>
            </w:r>
          </w:p>
        </w:tc>
        <w:tc>
          <w:tcPr>
            <w:tcW w:w="749" w:type="pct"/>
            <w:vAlign w:val="center"/>
          </w:tcPr>
          <w:p w:rsidR="007079C4" w:rsidRPr="00A036BF" w:rsidRDefault="007079C4">
            <w:pPr>
              <w:jc w:val="center"/>
              <w:rPr>
                <w:b/>
                <w:bCs/>
                <w:sz w:val="20"/>
                <w:szCs w:val="20"/>
              </w:rPr>
            </w:pPr>
            <w:r w:rsidRPr="00A036BF">
              <w:rPr>
                <w:b/>
                <w:bCs/>
                <w:sz w:val="20"/>
                <w:szCs w:val="20"/>
              </w:rPr>
              <w:t>Maximum individual Investment</w:t>
            </w:r>
            <w:r w:rsidR="00217176">
              <w:rPr>
                <w:b/>
                <w:bCs/>
                <w:sz w:val="20"/>
                <w:szCs w:val="20"/>
              </w:rPr>
              <w:t xml:space="preserve"> </w:t>
            </w:r>
            <w:r w:rsidRPr="00A036BF">
              <w:rPr>
                <w:b/>
                <w:bCs/>
                <w:sz w:val="20"/>
                <w:szCs w:val="20"/>
              </w:rPr>
              <w:t>(£m</w:t>
            </w:r>
            <w:r w:rsidR="00217176">
              <w:rPr>
                <w:b/>
                <w:bCs/>
                <w:sz w:val="20"/>
                <w:szCs w:val="20"/>
              </w:rPr>
              <w:t>)</w:t>
            </w:r>
          </w:p>
        </w:tc>
        <w:tc>
          <w:tcPr>
            <w:tcW w:w="749" w:type="pct"/>
          </w:tcPr>
          <w:p w:rsidR="007079C4" w:rsidRPr="00A036BF" w:rsidRDefault="007079C4" w:rsidP="00C06EC5">
            <w:pPr>
              <w:jc w:val="center"/>
              <w:rPr>
                <w:b/>
                <w:bCs/>
                <w:sz w:val="20"/>
                <w:szCs w:val="20"/>
              </w:rPr>
            </w:pPr>
          </w:p>
          <w:p w:rsidR="007079C4" w:rsidRPr="00A036BF" w:rsidRDefault="007079C4" w:rsidP="00C06EC5">
            <w:pPr>
              <w:jc w:val="center"/>
              <w:rPr>
                <w:b/>
                <w:bCs/>
                <w:sz w:val="20"/>
                <w:szCs w:val="20"/>
              </w:rPr>
            </w:pPr>
            <w:r w:rsidRPr="00A036BF">
              <w:rPr>
                <w:b/>
                <w:bCs/>
                <w:sz w:val="20"/>
                <w:szCs w:val="20"/>
              </w:rPr>
              <w:t>Maximum total Investment</w:t>
            </w:r>
            <w:r w:rsidR="00217176">
              <w:rPr>
                <w:b/>
                <w:bCs/>
                <w:sz w:val="20"/>
                <w:szCs w:val="20"/>
              </w:rPr>
              <w:t xml:space="preserve"> </w:t>
            </w:r>
            <w:r w:rsidRPr="00A036BF">
              <w:rPr>
                <w:b/>
                <w:bCs/>
                <w:sz w:val="20"/>
                <w:szCs w:val="20"/>
              </w:rPr>
              <w:t>(£m</w:t>
            </w:r>
            <w:r w:rsidR="00217176">
              <w:rPr>
                <w:b/>
                <w:bCs/>
                <w:sz w:val="20"/>
                <w:szCs w:val="20"/>
              </w:rPr>
              <w:t>)</w:t>
            </w:r>
          </w:p>
        </w:tc>
        <w:tc>
          <w:tcPr>
            <w:tcW w:w="1048" w:type="pct"/>
            <w:vAlign w:val="center"/>
          </w:tcPr>
          <w:p w:rsidR="007079C4" w:rsidRPr="00A036BF" w:rsidRDefault="007079C4" w:rsidP="00C06EC5">
            <w:pPr>
              <w:jc w:val="center"/>
              <w:rPr>
                <w:b/>
                <w:bCs/>
                <w:sz w:val="20"/>
                <w:szCs w:val="20"/>
              </w:rPr>
            </w:pPr>
            <w:r w:rsidRPr="00A036BF">
              <w:rPr>
                <w:b/>
                <w:bCs/>
                <w:sz w:val="20"/>
                <w:szCs w:val="20"/>
              </w:rPr>
              <w:t>Maximum Period</w:t>
            </w:r>
          </w:p>
        </w:tc>
      </w:tr>
      <w:tr w:rsidR="00217176" w:rsidRPr="00A036BF" w:rsidTr="00F861B8">
        <w:trPr>
          <w:trHeight w:val="684"/>
        </w:trPr>
        <w:tc>
          <w:tcPr>
            <w:tcW w:w="1630" w:type="pct"/>
            <w:vAlign w:val="center"/>
          </w:tcPr>
          <w:p w:rsidR="004F1819" w:rsidRDefault="004F1819" w:rsidP="00C06EC5">
            <w:pPr>
              <w:rPr>
                <w:sz w:val="20"/>
                <w:szCs w:val="20"/>
              </w:rPr>
            </w:pPr>
          </w:p>
          <w:p w:rsidR="007079C4" w:rsidRDefault="007079C4" w:rsidP="00C06EC5">
            <w:pPr>
              <w:rPr>
                <w:bCs/>
                <w:sz w:val="20"/>
                <w:szCs w:val="20"/>
              </w:rPr>
            </w:pPr>
            <w:r w:rsidRPr="00A036BF">
              <w:rPr>
                <w:sz w:val="20"/>
                <w:szCs w:val="20"/>
              </w:rPr>
              <w:t xml:space="preserve">UK Government Gilts, Treasury Bills </w:t>
            </w:r>
            <w:r w:rsidRPr="00A036BF">
              <w:rPr>
                <w:bCs/>
                <w:sz w:val="20"/>
                <w:szCs w:val="20"/>
              </w:rPr>
              <w:t xml:space="preserve">&amp; bodies guaranteed by UK </w:t>
            </w:r>
            <w:proofErr w:type="spellStart"/>
            <w:r w:rsidRPr="00A036BF">
              <w:rPr>
                <w:bCs/>
                <w:sz w:val="20"/>
                <w:szCs w:val="20"/>
              </w:rPr>
              <w:t>Govt</w:t>
            </w:r>
            <w:proofErr w:type="spellEnd"/>
          </w:p>
          <w:p w:rsidR="004F1819" w:rsidRPr="00A036BF" w:rsidRDefault="004F1819" w:rsidP="00C06EC5">
            <w:pPr>
              <w:rPr>
                <w:bCs/>
                <w:sz w:val="20"/>
                <w:szCs w:val="20"/>
              </w:rPr>
            </w:pPr>
          </w:p>
        </w:tc>
        <w:tc>
          <w:tcPr>
            <w:tcW w:w="824" w:type="pct"/>
            <w:vAlign w:val="center"/>
          </w:tcPr>
          <w:p w:rsidR="007079C4" w:rsidRPr="00A036BF" w:rsidRDefault="007079C4" w:rsidP="00C06EC5">
            <w:pPr>
              <w:jc w:val="center"/>
              <w:rPr>
                <w:sz w:val="20"/>
                <w:szCs w:val="20"/>
              </w:rPr>
            </w:pPr>
            <w:r w:rsidRPr="00A036BF">
              <w:rPr>
                <w:sz w:val="20"/>
                <w:szCs w:val="20"/>
              </w:rPr>
              <w:t>UK Government</w:t>
            </w:r>
          </w:p>
        </w:tc>
        <w:tc>
          <w:tcPr>
            <w:tcW w:w="749" w:type="pct"/>
            <w:vAlign w:val="center"/>
          </w:tcPr>
          <w:p w:rsidR="007079C4" w:rsidRPr="00A036BF" w:rsidRDefault="00D569CD" w:rsidP="00C06EC5">
            <w:pPr>
              <w:jc w:val="center"/>
              <w:rPr>
                <w:sz w:val="20"/>
                <w:szCs w:val="20"/>
              </w:rPr>
            </w:pPr>
            <w:r>
              <w:rPr>
                <w:sz w:val="20"/>
                <w:szCs w:val="20"/>
              </w:rPr>
              <w:t>500</w:t>
            </w:r>
          </w:p>
        </w:tc>
        <w:tc>
          <w:tcPr>
            <w:tcW w:w="749" w:type="pct"/>
            <w:vAlign w:val="center"/>
          </w:tcPr>
          <w:p w:rsidR="007079C4" w:rsidRPr="00A036BF" w:rsidRDefault="007079C4" w:rsidP="00C06EC5">
            <w:pPr>
              <w:jc w:val="center"/>
              <w:rPr>
                <w:sz w:val="20"/>
                <w:szCs w:val="20"/>
              </w:rPr>
            </w:pPr>
            <w:r w:rsidRPr="00A036BF">
              <w:rPr>
                <w:sz w:val="20"/>
                <w:szCs w:val="20"/>
              </w:rPr>
              <w:t>unlimited</w:t>
            </w:r>
          </w:p>
        </w:tc>
        <w:tc>
          <w:tcPr>
            <w:tcW w:w="1048" w:type="pct"/>
            <w:vAlign w:val="center"/>
          </w:tcPr>
          <w:p w:rsidR="007079C4" w:rsidRPr="00A036BF" w:rsidRDefault="007079C4" w:rsidP="00C06EC5">
            <w:pPr>
              <w:jc w:val="center"/>
              <w:rPr>
                <w:sz w:val="20"/>
                <w:szCs w:val="20"/>
              </w:rPr>
            </w:pPr>
            <w:r w:rsidRPr="00A036BF">
              <w:rPr>
                <w:sz w:val="20"/>
                <w:szCs w:val="20"/>
              </w:rPr>
              <w:t xml:space="preserve">50 </w:t>
            </w:r>
            <w:proofErr w:type="spellStart"/>
            <w:r w:rsidRPr="00A036BF">
              <w:rPr>
                <w:sz w:val="20"/>
                <w:szCs w:val="20"/>
              </w:rPr>
              <w:t>yrs</w:t>
            </w:r>
            <w:proofErr w:type="spellEnd"/>
          </w:p>
        </w:tc>
      </w:tr>
      <w:tr w:rsidR="00217176" w:rsidRPr="00A036BF" w:rsidTr="00F861B8">
        <w:trPr>
          <w:trHeight w:val="836"/>
        </w:trPr>
        <w:tc>
          <w:tcPr>
            <w:tcW w:w="1630" w:type="pct"/>
            <w:vAlign w:val="center"/>
          </w:tcPr>
          <w:p w:rsidR="007079C4" w:rsidRPr="00A036BF" w:rsidRDefault="007079C4" w:rsidP="00C06EC5">
            <w:pPr>
              <w:rPr>
                <w:sz w:val="20"/>
                <w:szCs w:val="20"/>
              </w:rPr>
            </w:pPr>
            <w:r w:rsidRPr="00A036BF">
              <w:rPr>
                <w:sz w:val="20"/>
                <w:szCs w:val="20"/>
              </w:rPr>
              <w:t xml:space="preserve">Sterling Supranational Bonds </w:t>
            </w:r>
            <w:r w:rsidR="00217176">
              <w:rPr>
                <w:sz w:val="20"/>
                <w:szCs w:val="20"/>
              </w:rPr>
              <w:t xml:space="preserve">&amp; </w:t>
            </w:r>
            <w:r w:rsidRPr="00A036BF">
              <w:rPr>
                <w:sz w:val="20"/>
                <w:szCs w:val="20"/>
              </w:rPr>
              <w:t xml:space="preserve">Sterling Sovereign Bonds </w:t>
            </w:r>
          </w:p>
        </w:tc>
        <w:tc>
          <w:tcPr>
            <w:tcW w:w="824" w:type="pct"/>
            <w:vAlign w:val="center"/>
          </w:tcPr>
          <w:p w:rsidR="007079C4" w:rsidRPr="00A036BF" w:rsidRDefault="007079C4" w:rsidP="00272267">
            <w:pPr>
              <w:jc w:val="center"/>
              <w:rPr>
                <w:sz w:val="20"/>
                <w:szCs w:val="20"/>
              </w:rPr>
            </w:pPr>
            <w:r w:rsidRPr="00A036BF">
              <w:rPr>
                <w:sz w:val="20"/>
                <w:szCs w:val="20"/>
              </w:rPr>
              <w:t>AA</w:t>
            </w:r>
            <w:r w:rsidR="00272267">
              <w:rPr>
                <w:sz w:val="20"/>
                <w:szCs w:val="20"/>
              </w:rPr>
              <w:t>-</w:t>
            </w:r>
          </w:p>
        </w:tc>
        <w:tc>
          <w:tcPr>
            <w:tcW w:w="749" w:type="pct"/>
            <w:vAlign w:val="center"/>
          </w:tcPr>
          <w:p w:rsidR="007079C4" w:rsidRPr="00A036BF" w:rsidRDefault="00FE721D" w:rsidP="00C06EC5">
            <w:pPr>
              <w:jc w:val="center"/>
              <w:rPr>
                <w:sz w:val="20"/>
                <w:szCs w:val="20"/>
              </w:rPr>
            </w:pPr>
            <w:r>
              <w:rPr>
                <w:sz w:val="20"/>
                <w:szCs w:val="20"/>
              </w:rPr>
              <w:t>150</w:t>
            </w:r>
          </w:p>
        </w:tc>
        <w:tc>
          <w:tcPr>
            <w:tcW w:w="749" w:type="pct"/>
            <w:vAlign w:val="center"/>
          </w:tcPr>
          <w:p w:rsidR="007079C4" w:rsidRPr="00A036BF" w:rsidRDefault="007079C4" w:rsidP="00C06EC5">
            <w:pPr>
              <w:jc w:val="center"/>
              <w:rPr>
                <w:sz w:val="20"/>
                <w:szCs w:val="20"/>
              </w:rPr>
            </w:pPr>
            <w:r w:rsidRPr="00A036BF">
              <w:rPr>
                <w:sz w:val="20"/>
                <w:szCs w:val="20"/>
              </w:rPr>
              <w:t>500</w:t>
            </w:r>
          </w:p>
        </w:tc>
        <w:tc>
          <w:tcPr>
            <w:tcW w:w="1048" w:type="pct"/>
            <w:vAlign w:val="center"/>
          </w:tcPr>
          <w:p w:rsidR="007079C4" w:rsidRPr="00A036BF" w:rsidRDefault="007079C4" w:rsidP="00C06EC5">
            <w:pPr>
              <w:jc w:val="center"/>
              <w:rPr>
                <w:sz w:val="20"/>
                <w:szCs w:val="20"/>
              </w:rPr>
            </w:pPr>
            <w:r w:rsidRPr="00A036BF">
              <w:rPr>
                <w:sz w:val="20"/>
                <w:szCs w:val="20"/>
              </w:rPr>
              <w:t xml:space="preserve">50 </w:t>
            </w:r>
            <w:proofErr w:type="spellStart"/>
            <w:r w:rsidRPr="00A036BF">
              <w:rPr>
                <w:sz w:val="20"/>
                <w:szCs w:val="20"/>
              </w:rPr>
              <w:t>yrs</w:t>
            </w:r>
            <w:proofErr w:type="spellEnd"/>
          </w:p>
        </w:tc>
      </w:tr>
      <w:tr w:rsidR="00217176" w:rsidRPr="00A036BF" w:rsidTr="00F861B8">
        <w:trPr>
          <w:trHeight w:val="836"/>
        </w:trPr>
        <w:tc>
          <w:tcPr>
            <w:tcW w:w="1630" w:type="pct"/>
            <w:vAlign w:val="center"/>
          </w:tcPr>
          <w:p w:rsidR="004F1819" w:rsidRDefault="004F1819" w:rsidP="00C06EC5">
            <w:pPr>
              <w:spacing w:after="120"/>
              <w:rPr>
                <w:sz w:val="20"/>
                <w:szCs w:val="20"/>
              </w:rPr>
            </w:pPr>
          </w:p>
          <w:p w:rsidR="007079C4" w:rsidRDefault="00DB4AB1" w:rsidP="00C06EC5">
            <w:pPr>
              <w:spacing w:after="120"/>
              <w:rPr>
                <w:sz w:val="20"/>
                <w:szCs w:val="20"/>
              </w:rPr>
            </w:pPr>
            <w:r>
              <w:rPr>
                <w:sz w:val="20"/>
                <w:szCs w:val="20"/>
              </w:rPr>
              <w:t>Corporate Bonds (Short Term less than</w:t>
            </w:r>
            <w:r w:rsidR="007079C4" w:rsidRPr="00A036BF">
              <w:rPr>
                <w:sz w:val="20"/>
                <w:szCs w:val="20"/>
              </w:rPr>
              <w:t xml:space="preserve"> 1yr</w:t>
            </w:r>
            <w:r>
              <w:rPr>
                <w:sz w:val="20"/>
                <w:szCs w:val="20"/>
              </w:rPr>
              <w:t xml:space="preserve"> to maturity)</w:t>
            </w:r>
          </w:p>
          <w:p w:rsidR="004F1819" w:rsidRPr="00A036BF" w:rsidRDefault="004F1819" w:rsidP="00C06EC5">
            <w:pPr>
              <w:spacing w:after="120"/>
              <w:rPr>
                <w:sz w:val="20"/>
                <w:szCs w:val="20"/>
              </w:rPr>
            </w:pPr>
          </w:p>
        </w:tc>
        <w:tc>
          <w:tcPr>
            <w:tcW w:w="824" w:type="pct"/>
            <w:vAlign w:val="center"/>
          </w:tcPr>
          <w:p w:rsidR="007079C4" w:rsidRPr="00A036BF" w:rsidRDefault="007079C4" w:rsidP="00C06EC5">
            <w:pPr>
              <w:jc w:val="center"/>
              <w:rPr>
                <w:sz w:val="20"/>
                <w:szCs w:val="20"/>
              </w:rPr>
            </w:pPr>
            <w:r w:rsidRPr="00A036BF">
              <w:rPr>
                <w:sz w:val="20"/>
                <w:szCs w:val="20"/>
              </w:rPr>
              <w:lastRenderedPageBreak/>
              <w:t>P1/A1/F1</w:t>
            </w:r>
          </w:p>
        </w:tc>
        <w:tc>
          <w:tcPr>
            <w:tcW w:w="749" w:type="pct"/>
            <w:vAlign w:val="center"/>
          </w:tcPr>
          <w:p w:rsidR="007079C4" w:rsidRPr="00A036BF" w:rsidRDefault="001902E3" w:rsidP="00C06EC5">
            <w:pPr>
              <w:jc w:val="center"/>
              <w:rPr>
                <w:sz w:val="20"/>
                <w:szCs w:val="20"/>
              </w:rPr>
            </w:pPr>
            <w:r>
              <w:rPr>
                <w:sz w:val="20"/>
                <w:szCs w:val="20"/>
              </w:rPr>
              <w:t>40</w:t>
            </w:r>
          </w:p>
        </w:tc>
        <w:tc>
          <w:tcPr>
            <w:tcW w:w="749" w:type="pct"/>
            <w:vAlign w:val="center"/>
          </w:tcPr>
          <w:p w:rsidR="007079C4" w:rsidRPr="00A036BF" w:rsidRDefault="00C91E91" w:rsidP="00C06EC5">
            <w:pPr>
              <w:jc w:val="center"/>
              <w:rPr>
                <w:sz w:val="20"/>
                <w:szCs w:val="20"/>
              </w:rPr>
            </w:pPr>
            <w:r>
              <w:rPr>
                <w:sz w:val="20"/>
                <w:szCs w:val="20"/>
              </w:rPr>
              <w:t>2</w:t>
            </w:r>
            <w:r w:rsidR="001902E3">
              <w:rPr>
                <w:sz w:val="20"/>
                <w:szCs w:val="20"/>
              </w:rPr>
              <w:t>00</w:t>
            </w:r>
          </w:p>
        </w:tc>
        <w:tc>
          <w:tcPr>
            <w:tcW w:w="1048" w:type="pct"/>
            <w:vAlign w:val="center"/>
          </w:tcPr>
          <w:p w:rsidR="007079C4" w:rsidRPr="00A036BF" w:rsidRDefault="007079C4" w:rsidP="00C06EC5">
            <w:pPr>
              <w:jc w:val="center"/>
              <w:rPr>
                <w:sz w:val="20"/>
                <w:szCs w:val="20"/>
              </w:rPr>
            </w:pPr>
            <w:r w:rsidRPr="00A036BF">
              <w:rPr>
                <w:sz w:val="20"/>
                <w:szCs w:val="20"/>
              </w:rPr>
              <w:t>1yr</w:t>
            </w:r>
          </w:p>
        </w:tc>
      </w:tr>
      <w:tr w:rsidR="00217176" w:rsidRPr="00A036BF" w:rsidTr="00F861B8">
        <w:tc>
          <w:tcPr>
            <w:tcW w:w="1630" w:type="pct"/>
            <w:vAlign w:val="center"/>
          </w:tcPr>
          <w:p w:rsidR="00D569CD" w:rsidRPr="00F861B8" w:rsidRDefault="00D569CD" w:rsidP="00C06EC5">
            <w:pPr>
              <w:spacing w:after="120"/>
              <w:rPr>
                <w:sz w:val="20"/>
                <w:szCs w:val="20"/>
                <w:highlight w:val="yellow"/>
              </w:rPr>
            </w:pPr>
            <w:r w:rsidRPr="00A036BF">
              <w:rPr>
                <w:sz w:val="20"/>
                <w:szCs w:val="20"/>
              </w:rPr>
              <w:lastRenderedPageBreak/>
              <w:t>Corporate Bonds (Medium term</w:t>
            </w:r>
            <w:r w:rsidR="009B4C00">
              <w:rPr>
                <w:sz w:val="20"/>
                <w:szCs w:val="20"/>
              </w:rPr>
              <w:t xml:space="preserve"> up to 5 years</w:t>
            </w:r>
            <w:r w:rsidRPr="00A036BF">
              <w:rPr>
                <w:sz w:val="20"/>
                <w:szCs w:val="20"/>
              </w:rPr>
              <w:t>)</w:t>
            </w:r>
          </w:p>
        </w:tc>
        <w:tc>
          <w:tcPr>
            <w:tcW w:w="824" w:type="pct"/>
            <w:vAlign w:val="center"/>
          </w:tcPr>
          <w:p w:rsidR="00217176" w:rsidRDefault="00217176" w:rsidP="00C06EC5">
            <w:pPr>
              <w:spacing w:after="120"/>
              <w:jc w:val="center"/>
              <w:rPr>
                <w:sz w:val="20"/>
                <w:szCs w:val="20"/>
              </w:rPr>
            </w:pPr>
          </w:p>
          <w:p w:rsidR="00D569CD" w:rsidRPr="00A036BF" w:rsidRDefault="00D569CD" w:rsidP="00C06EC5">
            <w:pPr>
              <w:spacing w:after="120"/>
              <w:jc w:val="center"/>
              <w:rPr>
                <w:sz w:val="20"/>
                <w:szCs w:val="20"/>
              </w:rPr>
            </w:pPr>
            <w:r w:rsidRPr="00A036BF">
              <w:rPr>
                <w:sz w:val="20"/>
                <w:szCs w:val="20"/>
              </w:rPr>
              <w:t>AA-</w:t>
            </w:r>
          </w:p>
          <w:p w:rsidR="00217176" w:rsidRDefault="00D569CD" w:rsidP="00C06EC5">
            <w:pPr>
              <w:spacing w:after="120"/>
              <w:jc w:val="center"/>
              <w:rPr>
                <w:sz w:val="20"/>
                <w:szCs w:val="20"/>
              </w:rPr>
            </w:pPr>
            <w:r w:rsidRPr="00A036BF">
              <w:rPr>
                <w:sz w:val="20"/>
                <w:szCs w:val="20"/>
              </w:rPr>
              <w:t>P1/A1/F1</w:t>
            </w:r>
          </w:p>
          <w:p w:rsidR="00D569CD" w:rsidRPr="00F861B8" w:rsidRDefault="00D569CD" w:rsidP="00C06EC5">
            <w:pPr>
              <w:spacing w:after="120"/>
              <w:jc w:val="center"/>
              <w:rPr>
                <w:sz w:val="20"/>
                <w:szCs w:val="20"/>
                <w:highlight w:val="yellow"/>
              </w:rPr>
            </w:pPr>
          </w:p>
        </w:tc>
        <w:tc>
          <w:tcPr>
            <w:tcW w:w="749" w:type="pct"/>
            <w:vAlign w:val="center"/>
          </w:tcPr>
          <w:p w:rsidR="00D569CD" w:rsidRPr="00F861B8" w:rsidRDefault="00FE721D" w:rsidP="00C06EC5">
            <w:pPr>
              <w:spacing w:after="120"/>
              <w:jc w:val="center"/>
              <w:rPr>
                <w:sz w:val="20"/>
                <w:szCs w:val="20"/>
                <w:highlight w:val="yellow"/>
              </w:rPr>
            </w:pPr>
            <w:r>
              <w:rPr>
                <w:sz w:val="20"/>
                <w:szCs w:val="20"/>
              </w:rPr>
              <w:t>100</w:t>
            </w:r>
          </w:p>
        </w:tc>
        <w:tc>
          <w:tcPr>
            <w:tcW w:w="749" w:type="pct"/>
            <w:vAlign w:val="center"/>
          </w:tcPr>
          <w:p w:rsidR="00D569CD" w:rsidRPr="00F861B8" w:rsidRDefault="00FE721D" w:rsidP="00C06EC5">
            <w:pPr>
              <w:spacing w:after="120"/>
              <w:jc w:val="center"/>
              <w:rPr>
                <w:sz w:val="20"/>
                <w:szCs w:val="20"/>
                <w:highlight w:val="yellow"/>
              </w:rPr>
            </w:pPr>
            <w:r>
              <w:rPr>
                <w:sz w:val="20"/>
                <w:szCs w:val="20"/>
              </w:rPr>
              <w:t>500</w:t>
            </w:r>
          </w:p>
        </w:tc>
        <w:tc>
          <w:tcPr>
            <w:tcW w:w="1048" w:type="pct"/>
            <w:vAlign w:val="center"/>
          </w:tcPr>
          <w:p w:rsidR="00D569CD" w:rsidRPr="00F861B8" w:rsidRDefault="00D569CD" w:rsidP="00C06EC5">
            <w:pPr>
              <w:spacing w:after="120"/>
              <w:jc w:val="center"/>
              <w:rPr>
                <w:sz w:val="20"/>
                <w:szCs w:val="20"/>
                <w:highlight w:val="yellow"/>
              </w:rPr>
            </w:pPr>
            <w:r w:rsidRPr="00A036BF">
              <w:rPr>
                <w:sz w:val="20"/>
                <w:szCs w:val="20"/>
              </w:rPr>
              <w:t>5yrs</w:t>
            </w:r>
          </w:p>
        </w:tc>
      </w:tr>
      <w:tr w:rsidR="00217176" w:rsidRPr="00A036BF" w:rsidTr="00F861B8">
        <w:trPr>
          <w:cantSplit/>
          <w:trHeight w:val="447"/>
        </w:trPr>
        <w:tc>
          <w:tcPr>
            <w:tcW w:w="1630" w:type="pct"/>
            <w:vAlign w:val="center"/>
          </w:tcPr>
          <w:p w:rsidR="00D569CD" w:rsidRPr="00A036BF" w:rsidRDefault="00D569CD" w:rsidP="00C06EC5">
            <w:pPr>
              <w:spacing w:after="120"/>
              <w:rPr>
                <w:sz w:val="20"/>
                <w:szCs w:val="20"/>
              </w:rPr>
            </w:pPr>
            <w:r w:rsidRPr="00A036BF">
              <w:rPr>
                <w:sz w:val="20"/>
                <w:szCs w:val="20"/>
              </w:rPr>
              <w:t>Corporate Bonds (Long term)</w:t>
            </w:r>
          </w:p>
        </w:tc>
        <w:tc>
          <w:tcPr>
            <w:tcW w:w="824" w:type="pct"/>
            <w:vAlign w:val="center"/>
          </w:tcPr>
          <w:p w:rsidR="00217176" w:rsidRDefault="00217176" w:rsidP="00C06EC5">
            <w:pPr>
              <w:spacing w:after="120"/>
              <w:jc w:val="center"/>
              <w:rPr>
                <w:sz w:val="20"/>
                <w:szCs w:val="20"/>
              </w:rPr>
            </w:pPr>
          </w:p>
          <w:p w:rsidR="00D569CD" w:rsidRPr="00A036BF" w:rsidRDefault="00D569CD" w:rsidP="00C06EC5">
            <w:pPr>
              <w:spacing w:after="120"/>
              <w:jc w:val="center"/>
              <w:rPr>
                <w:sz w:val="20"/>
                <w:szCs w:val="20"/>
              </w:rPr>
            </w:pPr>
            <w:r w:rsidRPr="00A036BF">
              <w:rPr>
                <w:sz w:val="20"/>
                <w:szCs w:val="20"/>
              </w:rPr>
              <w:t>AA</w:t>
            </w:r>
          </w:p>
          <w:p w:rsidR="00217176" w:rsidRDefault="00D569CD" w:rsidP="00C06EC5">
            <w:pPr>
              <w:spacing w:after="120"/>
              <w:jc w:val="center"/>
              <w:rPr>
                <w:sz w:val="20"/>
                <w:szCs w:val="20"/>
              </w:rPr>
            </w:pPr>
            <w:r w:rsidRPr="00A036BF">
              <w:rPr>
                <w:sz w:val="20"/>
                <w:szCs w:val="20"/>
              </w:rPr>
              <w:t>P1/A1+/F1+</w:t>
            </w:r>
          </w:p>
          <w:p w:rsidR="00D569CD" w:rsidRPr="00A036BF" w:rsidRDefault="00D569CD" w:rsidP="00C06EC5">
            <w:pPr>
              <w:spacing w:after="120"/>
              <w:jc w:val="center"/>
              <w:rPr>
                <w:sz w:val="20"/>
                <w:szCs w:val="20"/>
              </w:rPr>
            </w:pPr>
          </w:p>
        </w:tc>
        <w:tc>
          <w:tcPr>
            <w:tcW w:w="749" w:type="pct"/>
            <w:vAlign w:val="center"/>
          </w:tcPr>
          <w:p w:rsidR="00D569CD" w:rsidRPr="00A036BF" w:rsidRDefault="00D569CD" w:rsidP="00C06EC5">
            <w:pPr>
              <w:jc w:val="center"/>
              <w:rPr>
                <w:sz w:val="20"/>
                <w:szCs w:val="20"/>
              </w:rPr>
            </w:pPr>
            <w:r w:rsidRPr="00A036BF">
              <w:rPr>
                <w:sz w:val="20"/>
                <w:szCs w:val="20"/>
              </w:rPr>
              <w:t>50</w:t>
            </w:r>
          </w:p>
        </w:tc>
        <w:tc>
          <w:tcPr>
            <w:tcW w:w="749" w:type="pct"/>
            <w:vAlign w:val="center"/>
          </w:tcPr>
          <w:p w:rsidR="00D569CD" w:rsidRPr="00A036BF" w:rsidRDefault="00FE721D" w:rsidP="00C06EC5">
            <w:pPr>
              <w:jc w:val="center"/>
              <w:rPr>
                <w:sz w:val="20"/>
                <w:szCs w:val="20"/>
              </w:rPr>
            </w:pPr>
            <w:r>
              <w:rPr>
                <w:sz w:val="20"/>
                <w:szCs w:val="20"/>
              </w:rPr>
              <w:t>250</w:t>
            </w:r>
          </w:p>
        </w:tc>
        <w:tc>
          <w:tcPr>
            <w:tcW w:w="1048" w:type="pct"/>
            <w:vAlign w:val="center"/>
          </w:tcPr>
          <w:p w:rsidR="00D569CD" w:rsidRPr="00A036BF" w:rsidRDefault="00FE721D" w:rsidP="00C06EC5">
            <w:pPr>
              <w:jc w:val="center"/>
              <w:rPr>
                <w:sz w:val="20"/>
                <w:szCs w:val="20"/>
              </w:rPr>
            </w:pPr>
            <w:r>
              <w:rPr>
                <w:sz w:val="20"/>
                <w:szCs w:val="20"/>
              </w:rPr>
              <w:t>50</w:t>
            </w:r>
            <w:r w:rsidR="00D569CD" w:rsidRPr="00A036BF">
              <w:rPr>
                <w:sz w:val="20"/>
                <w:szCs w:val="20"/>
              </w:rPr>
              <w:t>yrs</w:t>
            </w:r>
          </w:p>
        </w:tc>
      </w:tr>
      <w:tr w:rsidR="00217176" w:rsidRPr="00A036BF" w:rsidTr="00F861B8">
        <w:trPr>
          <w:cantSplit/>
          <w:trHeight w:val="447"/>
        </w:trPr>
        <w:tc>
          <w:tcPr>
            <w:tcW w:w="1630" w:type="pct"/>
            <w:vAlign w:val="center"/>
          </w:tcPr>
          <w:p w:rsidR="00D569CD" w:rsidRPr="005B0CCB" w:rsidRDefault="00D569CD">
            <w:pPr>
              <w:spacing w:after="120"/>
              <w:rPr>
                <w:sz w:val="20"/>
                <w:szCs w:val="20"/>
              </w:rPr>
            </w:pPr>
            <w:r w:rsidRPr="005B0CCB" w:rsidDel="00B90874">
              <w:rPr>
                <w:sz w:val="20"/>
                <w:szCs w:val="20"/>
              </w:rPr>
              <w:t xml:space="preserve">Government Bond Repurchase </w:t>
            </w:r>
            <w:r w:rsidR="00272267" w:rsidRPr="00F861B8">
              <w:rPr>
                <w:sz w:val="20"/>
                <w:szCs w:val="20"/>
              </w:rPr>
              <w:t>A</w:t>
            </w:r>
            <w:r w:rsidRPr="005F770C" w:rsidDel="00B90874">
              <w:rPr>
                <w:sz w:val="20"/>
                <w:szCs w:val="20"/>
              </w:rPr>
              <w:t>greements (</w:t>
            </w:r>
            <w:r w:rsidRPr="005B0CCB">
              <w:rPr>
                <w:sz w:val="20"/>
                <w:szCs w:val="20"/>
              </w:rPr>
              <w:t>Repo/</w:t>
            </w:r>
            <w:r w:rsidR="00217176" w:rsidRPr="00F861B8">
              <w:rPr>
                <w:sz w:val="20"/>
                <w:szCs w:val="20"/>
              </w:rPr>
              <w:t xml:space="preserve"> </w:t>
            </w:r>
            <w:r w:rsidRPr="005F770C">
              <w:rPr>
                <w:sz w:val="20"/>
                <w:szCs w:val="20"/>
              </w:rPr>
              <w:t>Reverse Repo)</w:t>
            </w:r>
          </w:p>
        </w:tc>
        <w:tc>
          <w:tcPr>
            <w:tcW w:w="824" w:type="pct"/>
            <w:vAlign w:val="center"/>
          </w:tcPr>
          <w:p w:rsidR="00217176" w:rsidRPr="00F861B8" w:rsidRDefault="00217176" w:rsidP="00C06EC5">
            <w:pPr>
              <w:spacing w:after="120"/>
              <w:jc w:val="center"/>
              <w:rPr>
                <w:sz w:val="20"/>
                <w:szCs w:val="20"/>
              </w:rPr>
            </w:pPr>
          </w:p>
          <w:p w:rsidR="00217176" w:rsidRPr="005B0CCB" w:rsidRDefault="00D569CD" w:rsidP="00C06EC5">
            <w:pPr>
              <w:spacing w:after="120"/>
              <w:jc w:val="center"/>
              <w:rPr>
                <w:sz w:val="20"/>
                <w:szCs w:val="20"/>
              </w:rPr>
            </w:pPr>
            <w:r w:rsidRPr="005F770C">
              <w:rPr>
                <w:sz w:val="20"/>
                <w:szCs w:val="20"/>
              </w:rPr>
              <w:t xml:space="preserve"> </w:t>
            </w:r>
            <w:r w:rsidR="00217176" w:rsidRPr="00F861B8">
              <w:rPr>
                <w:sz w:val="20"/>
                <w:szCs w:val="20"/>
              </w:rPr>
              <w:t>UK Govern</w:t>
            </w:r>
            <w:r w:rsidRPr="005F770C">
              <w:rPr>
                <w:sz w:val="20"/>
                <w:szCs w:val="20"/>
              </w:rPr>
              <w:t xml:space="preserve">ment </w:t>
            </w:r>
            <w:r w:rsidRPr="005B0CCB" w:rsidDel="00676940">
              <w:rPr>
                <w:sz w:val="20"/>
                <w:szCs w:val="20"/>
              </w:rPr>
              <w:t>AA</w:t>
            </w:r>
          </w:p>
          <w:p w:rsidR="00D569CD" w:rsidRPr="005B0CCB" w:rsidRDefault="00D569CD" w:rsidP="00C06EC5">
            <w:pPr>
              <w:spacing w:after="120"/>
              <w:jc w:val="center"/>
              <w:rPr>
                <w:sz w:val="20"/>
                <w:szCs w:val="20"/>
              </w:rPr>
            </w:pPr>
          </w:p>
        </w:tc>
        <w:tc>
          <w:tcPr>
            <w:tcW w:w="749" w:type="pct"/>
            <w:vAlign w:val="center"/>
          </w:tcPr>
          <w:p w:rsidR="00D569CD" w:rsidRPr="005B0CCB" w:rsidRDefault="00D569CD" w:rsidP="00C06EC5">
            <w:pPr>
              <w:jc w:val="center"/>
              <w:rPr>
                <w:sz w:val="20"/>
                <w:szCs w:val="20"/>
              </w:rPr>
            </w:pPr>
            <w:r w:rsidRPr="005B0CCB">
              <w:rPr>
                <w:sz w:val="20"/>
                <w:szCs w:val="20"/>
              </w:rPr>
              <w:t>500</w:t>
            </w:r>
          </w:p>
        </w:tc>
        <w:tc>
          <w:tcPr>
            <w:tcW w:w="749" w:type="pct"/>
            <w:vAlign w:val="center"/>
          </w:tcPr>
          <w:p w:rsidR="00D569CD" w:rsidRPr="005B0CCB" w:rsidRDefault="00FE721D" w:rsidP="00C06EC5">
            <w:pPr>
              <w:jc w:val="center"/>
              <w:rPr>
                <w:sz w:val="20"/>
                <w:szCs w:val="20"/>
              </w:rPr>
            </w:pPr>
            <w:r w:rsidRPr="00F861B8">
              <w:rPr>
                <w:sz w:val="20"/>
                <w:szCs w:val="20"/>
              </w:rPr>
              <w:t>750</w:t>
            </w:r>
          </w:p>
        </w:tc>
        <w:tc>
          <w:tcPr>
            <w:tcW w:w="1048" w:type="pct"/>
            <w:vAlign w:val="center"/>
          </w:tcPr>
          <w:p w:rsidR="00D569CD" w:rsidRPr="005B0CCB" w:rsidRDefault="00D569CD" w:rsidP="00C06EC5">
            <w:pPr>
              <w:jc w:val="center"/>
              <w:rPr>
                <w:sz w:val="20"/>
                <w:szCs w:val="20"/>
              </w:rPr>
            </w:pPr>
            <w:r w:rsidRPr="005B0CCB">
              <w:rPr>
                <w:sz w:val="20"/>
                <w:szCs w:val="20"/>
              </w:rPr>
              <w:t>1yr</w:t>
            </w:r>
          </w:p>
        </w:tc>
      </w:tr>
      <w:tr w:rsidR="004F1819" w:rsidRPr="00A036BF" w:rsidTr="00F861B8">
        <w:trPr>
          <w:cantSplit/>
          <w:trHeight w:val="447"/>
        </w:trPr>
        <w:tc>
          <w:tcPr>
            <w:tcW w:w="1630" w:type="pct"/>
            <w:vAlign w:val="center"/>
          </w:tcPr>
          <w:p w:rsidR="004F1819" w:rsidRPr="00F861B8" w:rsidRDefault="004F1819" w:rsidP="004F1819">
            <w:pPr>
              <w:spacing w:after="120"/>
              <w:rPr>
                <w:sz w:val="20"/>
                <w:szCs w:val="20"/>
              </w:rPr>
            </w:pPr>
          </w:p>
          <w:p w:rsidR="004F1819" w:rsidRPr="00F861B8" w:rsidRDefault="004F1819" w:rsidP="004F1819">
            <w:pPr>
              <w:spacing w:after="120"/>
              <w:rPr>
                <w:sz w:val="20"/>
                <w:szCs w:val="20"/>
              </w:rPr>
            </w:pPr>
            <w:r w:rsidRPr="00F861B8">
              <w:rPr>
                <w:sz w:val="20"/>
                <w:szCs w:val="20"/>
              </w:rPr>
              <w:t xml:space="preserve">Repurchase </w:t>
            </w:r>
            <w:r w:rsidR="00272267" w:rsidRPr="00F861B8">
              <w:rPr>
                <w:sz w:val="20"/>
                <w:szCs w:val="20"/>
              </w:rPr>
              <w:t>Agreements</w:t>
            </w:r>
            <w:r w:rsidRPr="00F861B8">
              <w:rPr>
                <w:sz w:val="20"/>
                <w:szCs w:val="20"/>
              </w:rPr>
              <w:t xml:space="preserve"> (Repo/ Reverse Repo)</w:t>
            </w:r>
          </w:p>
          <w:p w:rsidR="004F1819" w:rsidRPr="00F861B8" w:rsidRDefault="004F1819" w:rsidP="00217176">
            <w:pPr>
              <w:spacing w:after="120"/>
              <w:rPr>
                <w:sz w:val="20"/>
                <w:szCs w:val="20"/>
              </w:rPr>
            </w:pPr>
          </w:p>
        </w:tc>
        <w:tc>
          <w:tcPr>
            <w:tcW w:w="824" w:type="pct"/>
            <w:vAlign w:val="center"/>
          </w:tcPr>
          <w:p w:rsidR="004F1819" w:rsidRPr="00F861B8" w:rsidRDefault="004F1819" w:rsidP="00C06EC5">
            <w:pPr>
              <w:spacing w:after="120"/>
              <w:jc w:val="center"/>
              <w:rPr>
                <w:sz w:val="20"/>
                <w:szCs w:val="20"/>
              </w:rPr>
            </w:pPr>
            <w:r w:rsidRPr="00F861B8">
              <w:rPr>
                <w:sz w:val="20"/>
                <w:szCs w:val="20"/>
              </w:rPr>
              <w:t>Other AA+</w:t>
            </w:r>
          </w:p>
        </w:tc>
        <w:tc>
          <w:tcPr>
            <w:tcW w:w="749" w:type="pct"/>
            <w:vAlign w:val="center"/>
          </w:tcPr>
          <w:p w:rsidR="004F1819" w:rsidRPr="00F861B8" w:rsidDel="00FE721D" w:rsidRDefault="004F1819" w:rsidP="00C06EC5">
            <w:pPr>
              <w:jc w:val="center"/>
              <w:rPr>
                <w:sz w:val="20"/>
                <w:szCs w:val="20"/>
              </w:rPr>
            </w:pPr>
            <w:r w:rsidRPr="00F861B8">
              <w:rPr>
                <w:sz w:val="20"/>
                <w:szCs w:val="20"/>
              </w:rPr>
              <w:t>200</w:t>
            </w:r>
          </w:p>
        </w:tc>
        <w:tc>
          <w:tcPr>
            <w:tcW w:w="749" w:type="pct"/>
            <w:vAlign w:val="center"/>
          </w:tcPr>
          <w:p w:rsidR="004F1819" w:rsidRPr="00F861B8" w:rsidRDefault="004F1819" w:rsidP="00C06EC5">
            <w:pPr>
              <w:jc w:val="center"/>
              <w:rPr>
                <w:sz w:val="20"/>
                <w:szCs w:val="20"/>
              </w:rPr>
            </w:pPr>
            <w:r w:rsidRPr="00F861B8">
              <w:rPr>
                <w:sz w:val="20"/>
                <w:szCs w:val="20"/>
              </w:rPr>
              <w:t>200</w:t>
            </w:r>
          </w:p>
        </w:tc>
        <w:tc>
          <w:tcPr>
            <w:tcW w:w="1048" w:type="pct"/>
            <w:vAlign w:val="center"/>
          </w:tcPr>
          <w:p w:rsidR="004F1819" w:rsidRPr="00F861B8" w:rsidRDefault="004F1819" w:rsidP="00C06EC5">
            <w:pPr>
              <w:jc w:val="center"/>
              <w:rPr>
                <w:sz w:val="20"/>
                <w:szCs w:val="20"/>
              </w:rPr>
            </w:pPr>
            <w:r w:rsidRPr="00F861B8">
              <w:rPr>
                <w:sz w:val="20"/>
                <w:szCs w:val="20"/>
              </w:rPr>
              <w:t>1yr</w:t>
            </w:r>
          </w:p>
        </w:tc>
      </w:tr>
      <w:tr w:rsidR="004F1819" w:rsidRPr="00A036BF" w:rsidTr="00F861B8">
        <w:trPr>
          <w:cantSplit/>
          <w:trHeight w:val="447"/>
        </w:trPr>
        <w:tc>
          <w:tcPr>
            <w:tcW w:w="1630" w:type="pct"/>
            <w:vAlign w:val="center"/>
          </w:tcPr>
          <w:p w:rsidR="004F1819" w:rsidRPr="00676940" w:rsidRDefault="004F1819" w:rsidP="00217176">
            <w:pPr>
              <w:spacing w:after="120"/>
              <w:rPr>
                <w:sz w:val="20"/>
                <w:szCs w:val="20"/>
                <w:highlight w:val="yellow"/>
              </w:rPr>
            </w:pPr>
            <w:r w:rsidRPr="00A036BF">
              <w:rPr>
                <w:sz w:val="20"/>
                <w:szCs w:val="20"/>
              </w:rPr>
              <w:t>Bond Funds</w:t>
            </w:r>
            <w:r>
              <w:rPr>
                <w:sz w:val="20"/>
                <w:szCs w:val="20"/>
              </w:rPr>
              <w:t xml:space="preserve"> with weighted average maturity maximum 3 </w:t>
            </w:r>
            <w:proofErr w:type="spellStart"/>
            <w:r>
              <w:rPr>
                <w:sz w:val="20"/>
                <w:szCs w:val="20"/>
              </w:rPr>
              <w:t>yrs</w:t>
            </w:r>
            <w:proofErr w:type="spellEnd"/>
          </w:p>
        </w:tc>
        <w:tc>
          <w:tcPr>
            <w:tcW w:w="824" w:type="pct"/>
            <w:vAlign w:val="center"/>
          </w:tcPr>
          <w:p w:rsidR="004F1819" w:rsidRPr="00A036BF" w:rsidRDefault="004F1819" w:rsidP="004F1819">
            <w:pPr>
              <w:jc w:val="center"/>
              <w:rPr>
                <w:sz w:val="20"/>
                <w:szCs w:val="20"/>
              </w:rPr>
            </w:pPr>
          </w:p>
          <w:p w:rsidR="004F1819" w:rsidRDefault="004F1819" w:rsidP="00C06EC5">
            <w:pPr>
              <w:spacing w:after="120"/>
              <w:jc w:val="center"/>
              <w:rPr>
                <w:sz w:val="20"/>
                <w:szCs w:val="20"/>
                <w:highlight w:val="yellow"/>
              </w:rPr>
            </w:pPr>
            <w:r w:rsidRPr="00A036BF">
              <w:rPr>
                <w:sz w:val="20"/>
                <w:szCs w:val="20"/>
              </w:rPr>
              <w:t xml:space="preserve">AA Rated </w:t>
            </w:r>
            <w:r w:rsidRPr="00A036BF" w:rsidDel="00D569CD">
              <w:rPr>
                <w:sz w:val="20"/>
                <w:szCs w:val="20"/>
              </w:rPr>
              <w:t>weighted average maturity 3yrs</w:t>
            </w:r>
          </w:p>
        </w:tc>
        <w:tc>
          <w:tcPr>
            <w:tcW w:w="749" w:type="pct"/>
            <w:vAlign w:val="center"/>
          </w:tcPr>
          <w:p w:rsidR="004F1819" w:rsidRPr="00676940" w:rsidDel="00FE721D" w:rsidRDefault="004F1819" w:rsidP="00C06EC5">
            <w:pPr>
              <w:jc w:val="center"/>
              <w:rPr>
                <w:sz w:val="20"/>
                <w:szCs w:val="20"/>
                <w:highlight w:val="yellow"/>
              </w:rPr>
            </w:pPr>
            <w:r w:rsidRPr="00A036BF">
              <w:rPr>
                <w:sz w:val="20"/>
                <w:szCs w:val="20"/>
              </w:rPr>
              <w:t>100</w:t>
            </w:r>
          </w:p>
        </w:tc>
        <w:tc>
          <w:tcPr>
            <w:tcW w:w="749" w:type="pct"/>
            <w:vAlign w:val="center"/>
          </w:tcPr>
          <w:p w:rsidR="004F1819" w:rsidRDefault="004F1819" w:rsidP="00C06EC5">
            <w:pPr>
              <w:jc w:val="center"/>
              <w:rPr>
                <w:sz w:val="20"/>
                <w:szCs w:val="20"/>
                <w:highlight w:val="yellow"/>
              </w:rPr>
            </w:pPr>
            <w:r w:rsidRPr="00A036BF">
              <w:rPr>
                <w:sz w:val="20"/>
                <w:szCs w:val="20"/>
              </w:rPr>
              <w:t>250</w:t>
            </w:r>
          </w:p>
        </w:tc>
        <w:tc>
          <w:tcPr>
            <w:tcW w:w="1048" w:type="pct"/>
            <w:vAlign w:val="center"/>
          </w:tcPr>
          <w:p w:rsidR="004F1819" w:rsidRDefault="004F1819" w:rsidP="00C06EC5">
            <w:pPr>
              <w:jc w:val="center"/>
              <w:rPr>
                <w:sz w:val="20"/>
                <w:szCs w:val="20"/>
              </w:rPr>
            </w:pPr>
            <w:r w:rsidRPr="00A036BF">
              <w:rPr>
                <w:sz w:val="20"/>
                <w:szCs w:val="20"/>
              </w:rPr>
              <w:t>These investments do not have a defined maturity date.</w:t>
            </w:r>
          </w:p>
          <w:p w:rsidR="004F1819" w:rsidRPr="00676940" w:rsidRDefault="004F1819" w:rsidP="00C06EC5">
            <w:pPr>
              <w:jc w:val="center"/>
              <w:rPr>
                <w:sz w:val="20"/>
                <w:szCs w:val="20"/>
                <w:highlight w:val="yellow"/>
              </w:rPr>
            </w:pPr>
          </w:p>
        </w:tc>
      </w:tr>
      <w:tr w:rsidR="004F1819" w:rsidRPr="00A036BF" w:rsidTr="00F861B8">
        <w:trPr>
          <w:cantSplit/>
        </w:trPr>
        <w:tc>
          <w:tcPr>
            <w:tcW w:w="1630" w:type="pct"/>
          </w:tcPr>
          <w:p w:rsidR="004F1819" w:rsidRPr="00A036BF" w:rsidRDefault="004F1819" w:rsidP="00D569CD">
            <w:pPr>
              <w:spacing w:after="240"/>
              <w:rPr>
                <w:sz w:val="20"/>
                <w:szCs w:val="20"/>
              </w:rPr>
            </w:pPr>
          </w:p>
          <w:p w:rsidR="004F1819" w:rsidRPr="00A036BF" w:rsidRDefault="004F1819" w:rsidP="00C06EC5">
            <w:pPr>
              <w:spacing w:after="240"/>
              <w:rPr>
                <w:sz w:val="20"/>
                <w:szCs w:val="20"/>
              </w:rPr>
            </w:pPr>
            <w:r w:rsidRPr="00A036BF">
              <w:rPr>
                <w:sz w:val="20"/>
                <w:szCs w:val="20"/>
              </w:rPr>
              <w:t>Bond Funds</w:t>
            </w:r>
            <w:r>
              <w:rPr>
                <w:sz w:val="20"/>
                <w:szCs w:val="20"/>
              </w:rPr>
              <w:t xml:space="preserve"> with weighted average maturity maximum 5 </w:t>
            </w:r>
            <w:proofErr w:type="spellStart"/>
            <w:r>
              <w:rPr>
                <w:sz w:val="20"/>
                <w:szCs w:val="20"/>
              </w:rPr>
              <w:t>yrs</w:t>
            </w:r>
            <w:proofErr w:type="spellEnd"/>
          </w:p>
        </w:tc>
        <w:tc>
          <w:tcPr>
            <w:tcW w:w="824" w:type="pct"/>
            <w:vAlign w:val="center"/>
          </w:tcPr>
          <w:p w:rsidR="004F1819" w:rsidRPr="00A036BF" w:rsidRDefault="004F1819">
            <w:pPr>
              <w:jc w:val="center"/>
              <w:rPr>
                <w:sz w:val="20"/>
                <w:szCs w:val="20"/>
              </w:rPr>
            </w:pPr>
            <w:r w:rsidRPr="00A036BF">
              <w:rPr>
                <w:sz w:val="20"/>
                <w:szCs w:val="20"/>
              </w:rPr>
              <w:t>AA</w:t>
            </w:r>
            <w:r>
              <w:rPr>
                <w:sz w:val="20"/>
                <w:szCs w:val="20"/>
              </w:rPr>
              <w:t>A</w:t>
            </w:r>
            <w:r w:rsidRPr="00A036BF">
              <w:rPr>
                <w:sz w:val="20"/>
                <w:szCs w:val="20"/>
              </w:rPr>
              <w:t xml:space="preserve"> Rated </w:t>
            </w:r>
          </w:p>
        </w:tc>
        <w:tc>
          <w:tcPr>
            <w:tcW w:w="749" w:type="pct"/>
            <w:vAlign w:val="center"/>
          </w:tcPr>
          <w:p w:rsidR="004F1819" w:rsidRPr="00A036BF" w:rsidRDefault="004F1819" w:rsidP="00C06EC5">
            <w:pPr>
              <w:spacing w:after="240"/>
              <w:jc w:val="center"/>
              <w:rPr>
                <w:sz w:val="20"/>
                <w:szCs w:val="20"/>
              </w:rPr>
            </w:pPr>
            <w:r w:rsidRPr="00A036BF">
              <w:rPr>
                <w:sz w:val="20"/>
                <w:szCs w:val="20"/>
              </w:rPr>
              <w:t>100</w:t>
            </w:r>
          </w:p>
        </w:tc>
        <w:tc>
          <w:tcPr>
            <w:tcW w:w="749" w:type="pct"/>
            <w:vAlign w:val="center"/>
          </w:tcPr>
          <w:p w:rsidR="004F1819" w:rsidRPr="00A036BF" w:rsidRDefault="004F1819" w:rsidP="00C06EC5">
            <w:pPr>
              <w:spacing w:after="240"/>
              <w:jc w:val="center"/>
              <w:rPr>
                <w:sz w:val="20"/>
                <w:szCs w:val="20"/>
              </w:rPr>
            </w:pPr>
            <w:r w:rsidRPr="00A036BF">
              <w:rPr>
                <w:sz w:val="20"/>
                <w:szCs w:val="20"/>
              </w:rPr>
              <w:t>250</w:t>
            </w:r>
          </w:p>
        </w:tc>
        <w:tc>
          <w:tcPr>
            <w:tcW w:w="1048" w:type="pct"/>
            <w:vAlign w:val="center"/>
          </w:tcPr>
          <w:p w:rsidR="004F1819" w:rsidRPr="00A036BF" w:rsidRDefault="004F1819" w:rsidP="00C06EC5">
            <w:pPr>
              <w:spacing w:after="240"/>
              <w:jc w:val="center"/>
              <w:rPr>
                <w:sz w:val="20"/>
                <w:szCs w:val="20"/>
              </w:rPr>
            </w:pPr>
            <w:r w:rsidRPr="00A036BF">
              <w:rPr>
                <w:sz w:val="20"/>
                <w:szCs w:val="20"/>
              </w:rPr>
              <w:t>These investments do not have a defined maturity date.</w:t>
            </w:r>
          </w:p>
        </w:tc>
      </w:tr>
      <w:tr w:rsidR="004F1819" w:rsidRPr="00A036BF" w:rsidTr="00F861B8">
        <w:tc>
          <w:tcPr>
            <w:tcW w:w="1630" w:type="pct"/>
            <w:vAlign w:val="center"/>
          </w:tcPr>
          <w:p w:rsidR="004F1819" w:rsidRDefault="004F1819" w:rsidP="00D569CD">
            <w:pPr>
              <w:pStyle w:val="Header"/>
              <w:spacing w:after="120"/>
              <w:rPr>
                <w:rFonts w:ascii="Arial" w:hAnsi="Arial" w:cs="Arial"/>
                <w:sz w:val="20"/>
                <w:szCs w:val="20"/>
              </w:rPr>
            </w:pPr>
          </w:p>
          <w:p w:rsidR="004F1819" w:rsidRDefault="004F1819" w:rsidP="00D569CD">
            <w:pPr>
              <w:pStyle w:val="Header"/>
              <w:spacing w:after="120"/>
              <w:rPr>
                <w:rFonts w:ascii="Arial" w:hAnsi="Arial" w:cs="Arial"/>
                <w:sz w:val="20"/>
                <w:szCs w:val="20"/>
              </w:rPr>
            </w:pPr>
            <w:r w:rsidRPr="00A036BF">
              <w:rPr>
                <w:rFonts w:ascii="Arial" w:hAnsi="Arial" w:cs="Arial"/>
                <w:sz w:val="20"/>
                <w:szCs w:val="20"/>
              </w:rPr>
              <w:t>UK Local Authorities (</w:t>
            </w:r>
            <w:proofErr w:type="spellStart"/>
            <w:r w:rsidRPr="00A036BF">
              <w:rPr>
                <w:rFonts w:ascii="Arial" w:hAnsi="Arial" w:cs="Arial"/>
                <w:sz w:val="20"/>
                <w:szCs w:val="20"/>
              </w:rPr>
              <w:t>incl</w:t>
            </w:r>
            <w:proofErr w:type="spellEnd"/>
            <w:r w:rsidRPr="00A036BF">
              <w:rPr>
                <w:rFonts w:ascii="Arial" w:hAnsi="Arial" w:cs="Arial"/>
                <w:sz w:val="20"/>
                <w:szCs w:val="20"/>
              </w:rPr>
              <w:t xml:space="preserve"> Transport for London)</w:t>
            </w:r>
          </w:p>
          <w:p w:rsidR="004F1819" w:rsidRPr="00A036BF" w:rsidRDefault="004F1819" w:rsidP="00D569CD">
            <w:pPr>
              <w:pStyle w:val="Header"/>
              <w:spacing w:after="120"/>
              <w:rPr>
                <w:rFonts w:ascii="Arial" w:hAnsi="Arial" w:cs="Arial"/>
                <w:sz w:val="20"/>
                <w:szCs w:val="20"/>
              </w:rPr>
            </w:pPr>
          </w:p>
        </w:tc>
        <w:tc>
          <w:tcPr>
            <w:tcW w:w="824" w:type="pct"/>
            <w:vAlign w:val="center"/>
          </w:tcPr>
          <w:p w:rsidR="004F1819" w:rsidRPr="00A036BF" w:rsidRDefault="004F1819" w:rsidP="00D569CD">
            <w:pPr>
              <w:pStyle w:val="Header"/>
              <w:rPr>
                <w:rFonts w:ascii="Arial" w:hAnsi="Arial" w:cs="Arial"/>
                <w:sz w:val="20"/>
                <w:szCs w:val="20"/>
              </w:rPr>
            </w:pPr>
            <w:r w:rsidRPr="00A036BF">
              <w:rPr>
                <w:rFonts w:ascii="Arial" w:hAnsi="Arial" w:cs="Arial"/>
                <w:sz w:val="20"/>
                <w:szCs w:val="20"/>
              </w:rPr>
              <w:t>Implied Government  support</w:t>
            </w:r>
          </w:p>
        </w:tc>
        <w:tc>
          <w:tcPr>
            <w:tcW w:w="749" w:type="pct"/>
            <w:vAlign w:val="center"/>
          </w:tcPr>
          <w:p w:rsidR="004F1819" w:rsidRPr="00A036BF" w:rsidRDefault="004F1819" w:rsidP="00D569CD">
            <w:pPr>
              <w:jc w:val="center"/>
              <w:rPr>
                <w:sz w:val="20"/>
                <w:szCs w:val="20"/>
              </w:rPr>
            </w:pPr>
            <w:r w:rsidRPr="00A036BF">
              <w:rPr>
                <w:sz w:val="20"/>
                <w:szCs w:val="20"/>
              </w:rPr>
              <w:t>100</w:t>
            </w:r>
          </w:p>
        </w:tc>
        <w:tc>
          <w:tcPr>
            <w:tcW w:w="749" w:type="pct"/>
            <w:vAlign w:val="center"/>
          </w:tcPr>
          <w:p w:rsidR="004F1819" w:rsidRPr="00A036BF" w:rsidRDefault="004F1819" w:rsidP="00D569CD">
            <w:pPr>
              <w:jc w:val="center"/>
              <w:rPr>
                <w:sz w:val="20"/>
                <w:szCs w:val="20"/>
              </w:rPr>
            </w:pPr>
            <w:r w:rsidRPr="00A036BF">
              <w:rPr>
                <w:sz w:val="20"/>
                <w:szCs w:val="20"/>
              </w:rPr>
              <w:t>500</w:t>
            </w:r>
          </w:p>
        </w:tc>
        <w:tc>
          <w:tcPr>
            <w:tcW w:w="1048" w:type="pct"/>
            <w:vAlign w:val="center"/>
          </w:tcPr>
          <w:p w:rsidR="004F1819" w:rsidRPr="00A036BF" w:rsidRDefault="004F1819" w:rsidP="00D569CD">
            <w:pPr>
              <w:jc w:val="center"/>
              <w:rPr>
                <w:sz w:val="20"/>
                <w:szCs w:val="20"/>
              </w:rPr>
            </w:pPr>
            <w:r w:rsidRPr="00A036BF">
              <w:rPr>
                <w:sz w:val="20"/>
                <w:szCs w:val="20"/>
              </w:rPr>
              <w:t>50yrs</w:t>
            </w:r>
          </w:p>
        </w:tc>
      </w:tr>
      <w:tr w:rsidR="004F1819" w:rsidRPr="00A036BF" w:rsidTr="00F861B8">
        <w:trPr>
          <w:trHeight w:val="462"/>
        </w:trPr>
        <w:tc>
          <w:tcPr>
            <w:tcW w:w="1630" w:type="pct"/>
            <w:vAlign w:val="center"/>
          </w:tcPr>
          <w:p w:rsidR="004F1819" w:rsidRPr="005B0CCB" w:rsidRDefault="004F1819" w:rsidP="00272267">
            <w:pPr>
              <w:pStyle w:val="Header"/>
              <w:spacing w:after="120"/>
              <w:rPr>
                <w:rFonts w:ascii="Arial" w:hAnsi="Arial" w:cs="Arial"/>
                <w:sz w:val="20"/>
                <w:szCs w:val="20"/>
              </w:rPr>
            </w:pPr>
            <w:r w:rsidRPr="005F770C">
              <w:rPr>
                <w:rFonts w:ascii="Arial" w:hAnsi="Arial" w:cs="Arial"/>
                <w:sz w:val="20"/>
                <w:szCs w:val="20"/>
              </w:rPr>
              <w:t>Collateralised lending agreements backed by higher quality government or local government and supra national sterling securities.</w:t>
            </w:r>
            <w:r w:rsidR="00272267" w:rsidRPr="005B0CCB" w:rsidDel="00272267">
              <w:rPr>
                <w:rFonts w:ascii="Arial" w:hAnsi="Arial" w:cs="Arial"/>
                <w:sz w:val="20"/>
                <w:szCs w:val="20"/>
              </w:rPr>
              <w:t xml:space="preserve"> </w:t>
            </w:r>
          </w:p>
        </w:tc>
        <w:tc>
          <w:tcPr>
            <w:tcW w:w="824" w:type="pct"/>
            <w:vAlign w:val="center"/>
          </w:tcPr>
          <w:p w:rsidR="004F1819" w:rsidRPr="00F861B8" w:rsidRDefault="004F1819" w:rsidP="00D569CD">
            <w:pPr>
              <w:pStyle w:val="Header"/>
              <w:spacing w:after="120"/>
              <w:rPr>
                <w:rFonts w:ascii="Arial" w:hAnsi="Arial" w:cs="Arial"/>
                <w:sz w:val="20"/>
                <w:szCs w:val="20"/>
              </w:rPr>
            </w:pPr>
          </w:p>
          <w:p w:rsidR="004F1819" w:rsidRPr="005B0CCB" w:rsidRDefault="004F1819">
            <w:pPr>
              <w:pStyle w:val="Header"/>
              <w:spacing w:after="120"/>
              <w:rPr>
                <w:rFonts w:ascii="Arial" w:hAnsi="Arial" w:cs="Arial"/>
                <w:sz w:val="20"/>
                <w:szCs w:val="20"/>
              </w:rPr>
            </w:pPr>
            <w:r w:rsidRPr="005F770C">
              <w:rPr>
                <w:rFonts w:ascii="Arial" w:hAnsi="Arial" w:cs="Arial"/>
                <w:sz w:val="20"/>
                <w:szCs w:val="20"/>
              </w:rPr>
              <w:t>AA</w:t>
            </w:r>
            <w:r w:rsidR="0061423D">
              <w:rPr>
                <w:rFonts w:ascii="Arial" w:hAnsi="Arial" w:cs="Arial"/>
                <w:sz w:val="20"/>
                <w:szCs w:val="20"/>
              </w:rPr>
              <w:t>-</w:t>
            </w:r>
            <w:r w:rsidRPr="005F770C">
              <w:rPr>
                <w:rFonts w:ascii="Arial" w:hAnsi="Arial" w:cs="Arial"/>
                <w:sz w:val="20"/>
                <w:szCs w:val="20"/>
              </w:rPr>
              <w:t xml:space="preserve"> </w:t>
            </w:r>
            <w:r w:rsidR="001902E3">
              <w:rPr>
                <w:rFonts w:ascii="Arial" w:hAnsi="Arial" w:cs="Arial"/>
                <w:sz w:val="20"/>
                <w:szCs w:val="20"/>
              </w:rPr>
              <w:t xml:space="preserve">with cash </w:t>
            </w:r>
            <w:r w:rsidRPr="005B0CCB">
              <w:rPr>
                <w:rFonts w:ascii="Arial" w:hAnsi="Arial" w:cs="Arial"/>
                <w:sz w:val="20"/>
                <w:szCs w:val="20"/>
              </w:rPr>
              <w:t xml:space="preserve">or </w:t>
            </w:r>
            <w:r w:rsidRPr="005F770C">
              <w:rPr>
                <w:rFonts w:ascii="Arial" w:hAnsi="Arial" w:cs="Arial"/>
                <w:sz w:val="20"/>
                <w:szCs w:val="20"/>
              </w:rPr>
              <w:t>AA</w:t>
            </w:r>
            <w:r w:rsidR="0061423D">
              <w:rPr>
                <w:rFonts w:ascii="Arial" w:hAnsi="Arial" w:cs="Arial"/>
                <w:sz w:val="20"/>
                <w:szCs w:val="20"/>
              </w:rPr>
              <w:t>-</w:t>
            </w:r>
            <w:r w:rsidRPr="005F770C">
              <w:rPr>
                <w:rFonts w:ascii="Arial" w:hAnsi="Arial" w:cs="Arial"/>
                <w:sz w:val="20"/>
                <w:szCs w:val="20"/>
              </w:rPr>
              <w:t xml:space="preserve"> for any collate</w:t>
            </w:r>
            <w:r w:rsidRPr="005B0CCB">
              <w:rPr>
                <w:rFonts w:ascii="Arial" w:hAnsi="Arial" w:cs="Arial"/>
                <w:sz w:val="20"/>
                <w:szCs w:val="20"/>
              </w:rPr>
              <w:t xml:space="preserve">ral </w:t>
            </w:r>
          </w:p>
        </w:tc>
        <w:tc>
          <w:tcPr>
            <w:tcW w:w="749" w:type="pct"/>
            <w:vAlign w:val="center"/>
          </w:tcPr>
          <w:p w:rsidR="004F1819" w:rsidRPr="00A036BF" w:rsidRDefault="004F1819" w:rsidP="00217176">
            <w:pPr>
              <w:spacing w:after="120"/>
              <w:jc w:val="center"/>
              <w:rPr>
                <w:sz w:val="20"/>
                <w:szCs w:val="20"/>
              </w:rPr>
            </w:pPr>
            <w:r>
              <w:rPr>
                <w:sz w:val="20"/>
                <w:szCs w:val="20"/>
              </w:rPr>
              <w:t>250</w:t>
            </w:r>
          </w:p>
        </w:tc>
        <w:tc>
          <w:tcPr>
            <w:tcW w:w="749" w:type="pct"/>
            <w:vAlign w:val="center"/>
          </w:tcPr>
          <w:p w:rsidR="004F1819" w:rsidRPr="00A036BF" w:rsidRDefault="004F1819">
            <w:pPr>
              <w:spacing w:after="120"/>
              <w:jc w:val="center"/>
              <w:rPr>
                <w:sz w:val="20"/>
                <w:szCs w:val="20"/>
              </w:rPr>
            </w:pPr>
            <w:r>
              <w:rPr>
                <w:sz w:val="20"/>
                <w:szCs w:val="20"/>
              </w:rPr>
              <w:t>500</w:t>
            </w:r>
          </w:p>
        </w:tc>
        <w:tc>
          <w:tcPr>
            <w:tcW w:w="1048" w:type="pct"/>
            <w:vAlign w:val="center"/>
          </w:tcPr>
          <w:p w:rsidR="004F1819" w:rsidRPr="005B0CCB" w:rsidRDefault="004F1819" w:rsidP="00D569CD">
            <w:pPr>
              <w:spacing w:after="120"/>
              <w:jc w:val="center"/>
              <w:rPr>
                <w:sz w:val="20"/>
                <w:szCs w:val="20"/>
              </w:rPr>
            </w:pPr>
            <w:r w:rsidRPr="005F770C">
              <w:rPr>
                <w:sz w:val="20"/>
                <w:szCs w:val="20"/>
              </w:rPr>
              <w:t>25yrs</w:t>
            </w:r>
          </w:p>
        </w:tc>
      </w:tr>
      <w:tr w:rsidR="004F1819" w:rsidRPr="00A036BF" w:rsidTr="00F861B8">
        <w:trPr>
          <w:trHeight w:val="1410"/>
        </w:trPr>
        <w:tc>
          <w:tcPr>
            <w:tcW w:w="1630" w:type="pct"/>
            <w:vAlign w:val="center"/>
          </w:tcPr>
          <w:p w:rsidR="004F1819" w:rsidRPr="00F861B8" w:rsidRDefault="004F1819" w:rsidP="00D569CD">
            <w:pPr>
              <w:pStyle w:val="Header"/>
              <w:rPr>
                <w:rFonts w:ascii="Arial" w:hAnsi="Arial" w:cs="Arial"/>
                <w:sz w:val="20"/>
                <w:szCs w:val="20"/>
              </w:rPr>
            </w:pPr>
          </w:p>
          <w:p w:rsidR="004F1819" w:rsidRPr="005B0CCB" w:rsidRDefault="004F1819" w:rsidP="009B4C00">
            <w:pPr>
              <w:pStyle w:val="Header"/>
              <w:rPr>
                <w:rFonts w:ascii="Arial" w:hAnsi="Arial" w:cs="Arial"/>
                <w:sz w:val="20"/>
                <w:szCs w:val="20"/>
              </w:rPr>
            </w:pPr>
            <w:r w:rsidRPr="005F770C">
              <w:rPr>
                <w:rFonts w:ascii="Arial" w:hAnsi="Arial" w:cs="Arial"/>
                <w:sz w:val="20"/>
                <w:szCs w:val="20"/>
              </w:rPr>
              <w:t xml:space="preserve">Call accounts with UK and Overseas Banks (domiciled in UK) </w:t>
            </w:r>
          </w:p>
        </w:tc>
        <w:tc>
          <w:tcPr>
            <w:tcW w:w="824" w:type="pct"/>
            <w:vAlign w:val="center"/>
          </w:tcPr>
          <w:p w:rsidR="004F1819" w:rsidRPr="00F861B8" w:rsidRDefault="004F1819" w:rsidP="00D569CD">
            <w:pPr>
              <w:pStyle w:val="Header"/>
              <w:rPr>
                <w:rFonts w:ascii="Arial" w:hAnsi="Arial" w:cs="Arial"/>
                <w:sz w:val="20"/>
                <w:szCs w:val="20"/>
              </w:rPr>
            </w:pPr>
          </w:p>
          <w:p w:rsidR="004F1819" w:rsidRPr="005B0CCB" w:rsidDel="009B3EA5" w:rsidRDefault="004F1819" w:rsidP="00D569CD">
            <w:pPr>
              <w:pStyle w:val="Header"/>
              <w:rPr>
                <w:rFonts w:ascii="Arial" w:hAnsi="Arial" w:cs="Arial"/>
                <w:sz w:val="20"/>
                <w:szCs w:val="20"/>
              </w:rPr>
            </w:pPr>
            <w:r w:rsidRPr="005B0CCB" w:rsidDel="009B3EA5">
              <w:rPr>
                <w:rFonts w:ascii="Arial" w:hAnsi="Arial" w:cs="Arial"/>
                <w:sz w:val="20"/>
                <w:szCs w:val="20"/>
              </w:rPr>
              <w:t>P1/A1/F1</w:t>
            </w:r>
          </w:p>
          <w:p w:rsidR="004F1819" w:rsidRPr="005B0CCB" w:rsidRDefault="004F1819">
            <w:pPr>
              <w:pStyle w:val="Header"/>
              <w:rPr>
                <w:rFonts w:ascii="Arial" w:hAnsi="Arial" w:cs="Arial"/>
                <w:sz w:val="20"/>
                <w:szCs w:val="20"/>
              </w:rPr>
            </w:pPr>
            <w:r w:rsidRPr="005B0CCB" w:rsidDel="009B3EA5">
              <w:rPr>
                <w:rFonts w:ascii="Arial" w:hAnsi="Arial" w:cs="Arial"/>
                <w:sz w:val="20"/>
                <w:szCs w:val="20"/>
              </w:rPr>
              <w:t>Long term A Government support</w:t>
            </w:r>
          </w:p>
        </w:tc>
        <w:tc>
          <w:tcPr>
            <w:tcW w:w="749" w:type="pct"/>
            <w:vAlign w:val="center"/>
          </w:tcPr>
          <w:p w:rsidR="004F1819" w:rsidRPr="00A036BF" w:rsidRDefault="00AA5691" w:rsidP="00D569CD">
            <w:pPr>
              <w:jc w:val="center"/>
              <w:rPr>
                <w:sz w:val="20"/>
                <w:szCs w:val="20"/>
              </w:rPr>
            </w:pPr>
            <w:r w:rsidRPr="00F861B8">
              <w:rPr>
                <w:sz w:val="20"/>
                <w:szCs w:val="20"/>
              </w:rPr>
              <w:t>100</w:t>
            </w:r>
          </w:p>
        </w:tc>
        <w:tc>
          <w:tcPr>
            <w:tcW w:w="749" w:type="pct"/>
            <w:vAlign w:val="center"/>
          </w:tcPr>
          <w:p w:rsidR="004F1819" w:rsidRPr="00A036BF" w:rsidRDefault="001902E3">
            <w:pPr>
              <w:jc w:val="center"/>
              <w:rPr>
                <w:sz w:val="20"/>
                <w:szCs w:val="20"/>
              </w:rPr>
            </w:pPr>
            <w:r w:rsidRPr="00F861B8">
              <w:rPr>
                <w:sz w:val="20"/>
                <w:szCs w:val="20"/>
              </w:rPr>
              <w:t>100</w:t>
            </w:r>
          </w:p>
        </w:tc>
        <w:tc>
          <w:tcPr>
            <w:tcW w:w="1048" w:type="pct"/>
            <w:vAlign w:val="center"/>
          </w:tcPr>
          <w:p w:rsidR="004F1819" w:rsidRPr="005B0CCB" w:rsidRDefault="004F1819" w:rsidP="00AA5691">
            <w:pPr>
              <w:rPr>
                <w:sz w:val="20"/>
                <w:szCs w:val="20"/>
              </w:rPr>
            </w:pPr>
            <w:r w:rsidRPr="00F861B8">
              <w:rPr>
                <w:sz w:val="20"/>
                <w:szCs w:val="20"/>
              </w:rPr>
              <w:t>Overnight</w:t>
            </w:r>
            <w:r w:rsidR="00A43424" w:rsidRPr="00F861B8">
              <w:rPr>
                <w:sz w:val="20"/>
                <w:szCs w:val="20"/>
              </w:rPr>
              <w:t xml:space="preserve"> i</w:t>
            </w:r>
            <w:r w:rsidRPr="005F770C" w:rsidDel="009B3EA5">
              <w:rPr>
                <w:sz w:val="20"/>
                <w:szCs w:val="20"/>
              </w:rPr>
              <w:t>n line with clearing system guarantee (currently 4 years.)</w:t>
            </w:r>
          </w:p>
        </w:tc>
      </w:tr>
    </w:tbl>
    <w:p w:rsidR="00C2176F" w:rsidRPr="00A036BF" w:rsidRDefault="00C2176F" w:rsidP="00C06EC5">
      <w:pPr>
        <w:spacing w:after="240"/>
        <w:jc w:val="both"/>
      </w:pPr>
    </w:p>
    <w:p w:rsidR="00BF289B" w:rsidRPr="00A036BF" w:rsidRDefault="009B4C00" w:rsidP="00C06EC5">
      <w:pPr>
        <w:spacing w:after="240"/>
        <w:jc w:val="both"/>
        <w:rPr>
          <w:b/>
          <w:bCs/>
        </w:rPr>
      </w:pPr>
      <w:r>
        <w:t>The County Council's day to day transactional bank National Westminster lies outside the investment credit matrix but e</w:t>
      </w:r>
      <w:r w:rsidR="00D569CD">
        <w:t>mergency</w:t>
      </w:r>
      <w:r w:rsidR="00C06EC5" w:rsidRPr="00A036BF">
        <w:t xml:space="preserve"> overnight deposits </w:t>
      </w:r>
      <w:r w:rsidR="00D569CD">
        <w:t xml:space="preserve">may be placed </w:t>
      </w:r>
      <w:r w:rsidR="00C06EC5" w:rsidRPr="00A036BF">
        <w:t>with the</w:t>
      </w:r>
      <w:r>
        <w:t>m from time to time. I</w:t>
      </w:r>
      <w:r w:rsidR="007079C4" w:rsidRPr="00A036BF">
        <w:t xml:space="preserve">n practice </w:t>
      </w:r>
      <w:r>
        <w:t xml:space="preserve">they </w:t>
      </w:r>
      <w:r w:rsidR="00A13DDA">
        <w:t xml:space="preserve">are minimised on a daily basis to typically </w:t>
      </w:r>
      <w:r>
        <w:t>below</w:t>
      </w:r>
      <w:r w:rsidR="00A13DDA">
        <w:t xml:space="preserve"> £</w:t>
      </w:r>
      <w:r w:rsidR="00AA5691">
        <w:t>1million</w:t>
      </w:r>
      <w:r w:rsidR="00A13DDA">
        <w:t>.</w:t>
      </w:r>
    </w:p>
    <w:p w:rsidR="00FF008E" w:rsidRPr="00A036BF" w:rsidRDefault="00FA5EFC">
      <w:pPr>
        <w:spacing w:after="200" w:line="276" w:lineRule="auto"/>
        <w:rPr>
          <w:i/>
        </w:rPr>
      </w:pPr>
      <w:r>
        <w:rPr>
          <w:i/>
        </w:rPr>
        <w:t xml:space="preserve">6.1 </w:t>
      </w:r>
      <w:r w:rsidR="004A19C1" w:rsidRPr="00A036BF">
        <w:rPr>
          <w:i/>
        </w:rPr>
        <w:t>Types of Investment</w:t>
      </w:r>
    </w:p>
    <w:p w:rsidR="00FF008E" w:rsidRPr="00A036BF" w:rsidRDefault="00FF008E" w:rsidP="00FF008E">
      <w:pPr>
        <w:jc w:val="both"/>
      </w:pPr>
      <w:r w:rsidRPr="00A036BF">
        <w:t>The CLG Guidance defines two types of investment, firstly specified investments which are those:</w:t>
      </w:r>
    </w:p>
    <w:p w:rsidR="00015456" w:rsidRPr="00A036BF" w:rsidRDefault="00015456" w:rsidP="00FF008E">
      <w:pPr>
        <w:jc w:val="both"/>
      </w:pPr>
    </w:p>
    <w:p w:rsidR="00FF008E" w:rsidRPr="00A036BF" w:rsidRDefault="00FF008E" w:rsidP="00574AC0">
      <w:pPr>
        <w:numPr>
          <w:ilvl w:val="0"/>
          <w:numId w:val="2"/>
        </w:numPr>
        <w:jc w:val="both"/>
      </w:pPr>
      <w:r w:rsidRPr="00A036BF">
        <w:t>denominated in pound sterling,</w:t>
      </w:r>
    </w:p>
    <w:p w:rsidR="00FF008E" w:rsidRPr="00A036BF" w:rsidRDefault="00FF008E" w:rsidP="00574AC0">
      <w:pPr>
        <w:numPr>
          <w:ilvl w:val="0"/>
          <w:numId w:val="2"/>
        </w:numPr>
        <w:jc w:val="both"/>
      </w:pPr>
      <w:r w:rsidRPr="00A036BF">
        <w:t xml:space="preserve">due to be repaid within 12 months of </w:t>
      </w:r>
      <w:r w:rsidR="00015456" w:rsidRPr="00A036BF">
        <w:t xml:space="preserve">the </w:t>
      </w:r>
      <w:r w:rsidRPr="00A036BF">
        <w:t>arrangement,</w:t>
      </w:r>
    </w:p>
    <w:p w:rsidR="00FF008E" w:rsidRPr="00A036BF" w:rsidRDefault="00FF008E" w:rsidP="00574AC0">
      <w:pPr>
        <w:numPr>
          <w:ilvl w:val="0"/>
          <w:numId w:val="2"/>
        </w:numPr>
        <w:jc w:val="both"/>
      </w:pPr>
      <w:r w:rsidRPr="00A036BF">
        <w:t>not defined as capital expenditure by legislation, and</w:t>
      </w:r>
    </w:p>
    <w:p w:rsidR="00FF008E" w:rsidRPr="00A036BF" w:rsidRDefault="00FF008E" w:rsidP="00574AC0">
      <w:pPr>
        <w:numPr>
          <w:ilvl w:val="0"/>
          <w:numId w:val="2"/>
        </w:numPr>
        <w:jc w:val="both"/>
      </w:pPr>
      <w:r w:rsidRPr="00A036BF">
        <w:t>invested with one of:</w:t>
      </w:r>
    </w:p>
    <w:p w:rsidR="00FF008E" w:rsidRPr="00A036BF" w:rsidRDefault="00FF008E" w:rsidP="00574AC0">
      <w:pPr>
        <w:numPr>
          <w:ilvl w:val="1"/>
          <w:numId w:val="2"/>
        </w:numPr>
        <w:jc w:val="both"/>
      </w:pPr>
      <w:r w:rsidRPr="00A036BF">
        <w:t>the UK Government,</w:t>
      </w:r>
    </w:p>
    <w:p w:rsidR="00FF008E" w:rsidRPr="00A036BF" w:rsidRDefault="00FF008E" w:rsidP="00574AC0">
      <w:pPr>
        <w:numPr>
          <w:ilvl w:val="1"/>
          <w:numId w:val="2"/>
        </w:numPr>
        <w:jc w:val="both"/>
      </w:pPr>
      <w:r w:rsidRPr="00A036BF">
        <w:t>a UK local authority, parish council or community council, or</w:t>
      </w:r>
    </w:p>
    <w:p w:rsidR="00FF008E" w:rsidRPr="00A036BF" w:rsidRDefault="00FF008E" w:rsidP="00574AC0">
      <w:pPr>
        <w:numPr>
          <w:ilvl w:val="1"/>
          <w:numId w:val="2"/>
        </w:numPr>
        <w:jc w:val="both"/>
      </w:pPr>
      <w:proofErr w:type="gramStart"/>
      <w:r w:rsidRPr="00A036BF">
        <w:t>a</w:t>
      </w:r>
      <w:proofErr w:type="gramEnd"/>
      <w:r w:rsidRPr="00A036BF">
        <w:t xml:space="preserve"> body or investment scheme of “high credit quality”.</w:t>
      </w:r>
    </w:p>
    <w:p w:rsidR="00FF008E" w:rsidRPr="00A036BF" w:rsidRDefault="00FF008E" w:rsidP="00FF008E">
      <w:pPr>
        <w:jc w:val="both"/>
      </w:pPr>
    </w:p>
    <w:p w:rsidR="00FF008E" w:rsidRPr="00A036BF" w:rsidRDefault="00FF008E" w:rsidP="00FF008E">
      <w:pPr>
        <w:jc w:val="both"/>
      </w:pPr>
      <w:r w:rsidRPr="00A036BF">
        <w:t xml:space="preserve">Any investment not meeting the definition of a specified investment is classed as non-specified.  </w:t>
      </w:r>
      <w:r w:rsidR="00034F77" w:rsidRPr="00A036BF">
        <w:t>T</w:t>
      </w:r>
      <w:r w:rsidRPr="00A036BF">
        <w:t xml:space="preserve">he </w:t>
      </w:r>
      <w:r w:rsidR="00CA7572">
        <w:t>C</w:t>
      </w:r>
      <w:r w:rsidR="00F25AD0">
        <w:t xml:space="preserve">ounty </w:t>
      </w:r>
      <w:r w:rsidR="00CA7572">
        <w:t>C</w:t>
      </w:r>
      <w:r w:rsidR="00F25AD0">
        <w:t>ouncil</w:t>
      </w:r>
      <w:r w:rsidR="00C14F92" w:rsidRPr="00A036BF">
        <w:t xml:space="preserve"> will </w:t>
      </w:r>
      <w:r w:rsidRPr="00A036BF">
        <w:t xml:space="preserve">not make any investments with low credit quality bodies, nor any that are defined as capital expenditure by legislation, such as company shares.  </w:t>
      </w:r>
    </w:p>
    <w:p w:rsidR="00FF008E" w:rsidRPr="001143BB" w:rsidRDefault="00FF008E" w:rsidP="00FF008E">
      <w:pPr>
        <w:jc w:val="both"/>
        <w:rPr>
          <w:highlight w:val="yellow"/>
        </w:rPr>
      </w:pPr>
    </w:p>
    <w:p w:rsidR="00A31C01" w:rsidRDefault="00FF008E" w:rsidP="00574AC0">
      <w:pPr>
        <w:jc w:val="both"/>
      </w:pPr>
      <w:r w:rsidRPr="005F770C">
        <w:t>The</w:t>
      </w:r>
      <w:r w:rsidR="00F25AD0" w:rsidRPr="00F861B8">
        <w:t xml:space="preserve"> operational</w:t>
      </w:r>
      <w:r w:rsidRPr="005F770C">
        <w:t xml:space="preserve"> total limit on long-term</w:t>
      </w:r>
      <w:r w:rsidR="00AD15ED" w:rsidRPr="005F770C">
        <w:t xml:space="preserve"> </w:t>
      </w:r>
      <w:r w:rsidRPr="005B0CCB">
        <w:t xml:space="preserve">investments is </w:t>
      </w:r>
      <w:r w:rsidR="00392C2F" w:rsidRPr="001902E3">
        <w:t>£</w:t>
      </w:r>
      <w:r w:rsidR="00F1617C" w:rsidRPr="001902E3">
        <w:rPr>
          <w:lang w:eastAsia="en-US"/>
        </w:rPr>
        <w:t>600</w:t>
      </w:r>
      <w:r w:rsidRPr="001902E3">
        <w:t xml:space="preserve"> million</w:t>
      </w:r>
      <w:r w:rsidRPr="005F770C">
        <w:t xml:space="preserve">. </w:t>
      </w:r>
      <w:r w:rsidR="00C14F92" w:rsidRPr="005F770C">
        <w:t>T</w:t>
      </w:r>
      <w:r w:rsidRPr="005B0CCB">
        <w:t>his</w:t>
      </w:r>
      <w:r w:rsidR="00AD15ED" w:rsidRPr="005B0CCB">
        <w:t xml:space="preserve"> reflects the portfolio structure adopted by the </w:t>
      </w:r>
      <w:r w:rsidR="00CA7572">
        <w:t>C</w:t>
      </w:r>
      <w:r w:rsidR="00F25AD0" w:rsidRPr="00F861B8">
        <w:t xml:space="preserve">ounty </w:t>
      </w:r>
      <w:r w:rsidR="00CA7572">
        <w:t>C</w:t>
      </w:r>
      <w:r w:rsidR="00F25AD0" w:rsidRPr="00F861B8">
        <w:t>ouncil</w:t>
      </w:r>
      <w:r w:rsidR="00AD15ED" w:rsidRPr="005F770C">
        <w:t xml:space="preserve"> in order to reduce credit risk</w:t>
      </w:r>
      <w:r w:rsidR="00A31C01">
        <w:t xml:space="preserve"> and ensure liquidity</w:t>
      </w:r>
      <w:r w:rsidR="00AD53EF">
        <w:t>.</w:t>
      </w:r>
    </w:p>
    <w:p w:rsidR="00A31C01" w:rsidRDefault="00A31C01" w:rsidP="00574AC0">
      <w:pPr>
        <w:jc w:val="both"/>
      </w:pPr>
    </w:p>
    <w:p w:rsidR="00025990" w:rsidRPr="00F1617C" w:rsidRDefault="00AD53EF" w:rsidP="00574AC0">
      <w:pPr>
        <w:jc w:val="both"/>
      </w:pPr>
      <w:r>
        <w:t xml:space="preserve">Core investments are </w:t>
      </w:r>
      <w:r w:rsidR="00AD15ED" w:rsidRPr="005F770C">
        <w:t>h</w:t>
      </w:r>
      <w:r>
        <w:t>eld in g</w:t>
      </w:r>
      <w:r w:rsidR="00FF008E" w:rsidRPr="005B0CCB">
        <w:t xml:space="preserve">overnment and supranational </w:t>
      </w:r>
      <w:r w:rsidR="00AD15ED" w:rsidRPr="005B0CCB">
        <w:t>securities,</w:t>
      </w:r>
      <w:r w:rsidR="00FA73F3" w:rsidRPr="005B0CCB">
        <w:t xml:space="preserve"> </w:t>
      </w:r>
      <w:r w:rsidR="00FF008E" w:rsidRPr="005B0CCB">
        <w:t xml:space="preserve">which </w:t>
      </w:r>
      <w:r w:rsidR="00AD15ED" w:rsidRPr="005B0CCB">
        <w:t>although</w:t>
      </w:r>
      <w:r w:rsidR="00FF008E" w:rsidRPr="005B0CCB">
        <w:t xml:space="preserve"> highly liquid</w:t>
      </w:r>
      <w:r w:rsidR="00AD15ED" w:rsidRPr="005B0CCB">
        <w:t xml:space="preserve"> have m</w:t>
      </w:r>
      <w:r w:rsidR="00FF008E" w:rsidRPr="005B0CCB">
        <w:t>aturities</w:t>
      </w:r>
      <w:r w:rsidR="00AD15ED" w:rsidRPr="005B0CCB">
        <w:t xml:space="preserve"> in excess of 364 days.</w:t>
      </w:r>
      <w:r w:rsidR="00FA73F3" w:rsidRPr="005B0CCB">
        <w:t xml:space="preserve"> </w:t>
      </w:r>
      <w:r w:rsidR="00392C2F" w:rsidRPr="005B0CCB">
        <w:t xml:space="preserve"> </w:t>
      </w:r>
      <w:r w:rsidR="009269B3">
        <w:t>In addition the County Council holds a secondary liquidity investment book of very high quality covered floating rate notes (FRNs) which are typically issued for a 3 to 5</w:t>
      </w:r>
      <w:r w:rsidR="00A31C01">
        <w:t xml:space="preserve"> year term</w:t>
      </w:r>
      <w:r w:rsidR="009269B3">
        <w:t>. Because these instruments have their rates re-fixed</w:t>
      </w:r>
      <w:r w:rsidR="00A31C01">
        <w:t>,</w:t>
      </w:r>
      <w:r w:rsidR="009269B3">
        <w:t xml:space="preserve"> at current market rates every 3 months</w:t>
      </w:r>
      <w:r w:rsidR="00A31C01">
        <w:t>,</w:t>
      </w:r>
      <w:r w:rsidR="009269B3">
        <w:t xml:space="preserve"> their price shows a very low sensitivity to changes in market rates, so that although under the current accounting regulations they are classified as long term instruments, i</w:t>
      </w:r>
      <w:r w:rsidR="00FA73F3" w:rsidRPr="005B0CCB">
        <w:t xml:space="preserve">n practice </w:t>
      </w:r>
      <w:r w:rsidR="009269B3">
        <w:t xml:space="preserve">they operate as fixed instruments with a maximum of 3 months to maturity and can be liquidated </w:t>
      </w:r>
      <w:r w:rsidR="00CA7572">
        <w:t>with</w:t>
      </w:r>
      <w:r w:rsidR="00FA73F3" w:rsidRPr="005B0CCB">
        <w:t xml:space="preserve"> </w:t>
      </w:r>
      <w:r w:rsidR="00CA7572">
        <w:t>one or two</w:t>
      </w:r>
      <w:r w:rsidR="00FA73F3" w:rsidRPr="005B0CCB">
        <w:t xml:space="preserve"> </w:t>
      </w:r>
      <w:proofErr w:type="spellStart"/>
      <w:r w:rsidR="00FA73F3" w:rsidRPr="005B0CCB">
        <w:t>day</w:t>
      </w:r>
      <w:r w:rsidR="00ED57F5">
        <w:t>s</w:t>
      </w:r>
      <w:r w:rsidR="003A1DF3">
        <w:t xml:space="preserve"> </w:t>
      </w:r>
      <w:r w:rsidR="00FA73F3" w:rsidRPr="005B0CCB">
        <w:t>notice</w:t>
      </w:r>
      <w:proofErr w:type="spellEnd"/>
      <w:r w:rsidR="00A31C01">
        <w:t>. Therefore the 'long term investments' total contains instruments which operate with a short term horizon and which</w:t>
      </w:r>
      <w:r w:rsidR="00A31C01" w:rsidRPr="005B0CCB">
        <w:t xml:space="preserve"> </w:t>
      </w:r>
      <w:r w:rsidR="00FA73F3" w:rsidRPr="005B0CCB">
        <w:t>are central to achieving the</w:t>
      </w:r>
      <w:r w:rsidR="00C14F92" w:rsidRPr="005B0CCB">
        <w:t xml:space="preserve"> </w:t>
      </w:r>
      <w:r w:rsidR="00CA7572">
        <w:t>C</w:t>
      </w:r>
      <w:r w:rsidR="00F25AD0" w:rsidRPr="00F861B8">
        <w:t xml:space="preserve">ounty </w:t>
      </w:r>
      <w:r w:rsidR="00CA7572">
        <w:t>C</w:t>
      </w:r>
      <w:r w:rsidR="00F25AD0" w:rsidRPr="00F861B8">
        <w:t>ouncil</w:t>
      </w:r>
      <w:r w:rsidR="00FA73F3" w:rsidRPr="005F770C">
        <w:t xml:space="preserve">'s </w:t>
      </w:r>
      <w:r w:rsidR="00A31C01">
        <w:t xml:space="preserve">security and </w:t>
      </w:r>
      <w:r w:rsidR="00FA73F3" w:rsidRPr="005F770C">
        <w:t>liquidity objective</w:t>
      </w:r>
      <w:r w:rsidR="00A31C01">
        <w:t>s</w:t>
      </w:r>
      <w:r w:rsidR="00FA73F3" w:rsidRPr="005F770C">
        <w:t>.</w:t>
      </w:r>
    </w:p>
    <w:p w:rsidR="00F95A4B" w:rsidRPr="001143BB" w:rsidRDefault="00F95A4B" w:rsidP="00574AC0">
      <w:pPr>
        <w:jc w:val="both"/>
        <w:rPr>
          <w:highlight w:val="yellow"/>
        </w:rPr>
      </w:pPr>
    </w:p>
    <w:p w:rsidR="00D635B5" w:rsidRDefault="00C14F92" w:rsidP="00D635B5">
      <w:pPr>
        <w:jc w:val="both"/>
      </w:pPr>
      <w:r w:rsidRPr="00A036BF">
        <w:t xml:space="preserve">In recent times, a wider range of investment instruments within the area of sterling deposits has been developed by financial institutions. All of these afford similar security of capital to basic sterling deposits but they also offer the possibility, although never of course the certainty, of increased returns. The </w:t>
      </w:r>
      <w:r w:rsidR="00CF5E98">
        <w:t>section 151 officer</w:t>
      </w:r>
      <w:r w:rsidRPr="00A036BF">
        <w:t xml:space="preserve"> will, in liaison with the </w:t>
      </w:r>
      <w:r w:rsidR="003C3BD1">
        <w:t>C</w:t>
      </w:r>
      <w:r w:rsidR="00F25AD0">
        <w:t xml:space="preserve">ounty </w:t>
      </w:r>
      <w:r w:rsidR="003C3BD1">
        <w:t>C</w:t>
      </w:r>
      <w:r w:rsidR="00F25AD0">
        <w:t>ouncil</w:t>
      </w:r>
      <w:r w:rsidRPr="00A036BF">
        <w:t xml:space="preserve">’s external advisers, consider the benefits and drawbacks of these instruments and whether any of them are appropriate for the </w:t>
      </w:r>
      <w:r w:rsidR="00F25AD0">
        <w:t xml:space="preserve">County </w:t>
      </w:r>
      <w:r w:rsidR="00EE668D">
        <w:t>C</w:t>
      </w:r>
      <w:r w:rsidR="00F25AD0">
        <w:t>ouncil</w:t>
      </w:r>
      <w:r w:rsidRPr="00A036BF">
        <w:t>. Because of their relative complexity compared to straightforward term deposits, most of them would fall within the definition of non-specified investments. Decisions on whether to utilise such instruments will be taken after an assessment of whether their use achieves the Council's objectives in terms of reduction in overall risk exposure as part of a balanced portfolio.</w:t>
      </w:r>
    </w:p>
    <w:p w:rsidR="00233C79" w:rsidRDefault="00233C79" w:rsidP="00D635B5">
      <w:pPr>
        <w:jc w:val="both"/>
      </w:pPr>
    </w:p>
    <w:p w:rsidR="00D635B5" w:rsidRPr="00D635B5" w:rsidRDefault="00D635B5" w:rsidP="00D635B5">
      <w:pPr>
        <w:jc w:val="both"/>
      </w:pPr>
    </w:p>
    <w:p w:rsidR="006E328C" w:rsidRPr="00351C7D" w:rsidRDefault="006E328C" w:rsidP="00F861B8">
      <w:pPr>
        <w:pStyle w:val="ListParagraph"/>
        <w:numPr>
          <w:ilvl w:val="0"/>
          <w:numId w:val="36"/>
        </w:numPr>
        <w:spacing w:after="240"/>
        <w:rPr>
          <w:b/>
          <w:bCs/>
          <w:sz w:val="28"/>
          <w:szCs w:val="28"/>
        </w:rPr>
      </w:pPr>
      <w:r w:rsidRPr="00351C7D">
        <w:rPr>
          <w:b/>
          <w:bCs/>
          <w:sz w:val="28"/>
          <w:szCs w:val="28"/>
        </w:rPr>
        <w:t>Policy on Use of Financial Derivatives</w:t>
      </w:r>
    </w:p>
    <w:p w:rsidR="00233C79" w:rsidRPr="002A48EA" w:rsidRDefault="0040630B" w:rsidP="00025990">
      <w:pPr>
        <w:jc w:val="both"/>
      </w:pPr>
      <w:r w:rsidRPr="002A48EA">
        <w:t xml:space="preserve">The </w:t>
      </w:r>
      <w:r w:rsidR="00CA7572">
        <w:t>C</w:t>
      </w:r>
      <w:r w:rsidR="00F25AD0">
        <w:t xml:space="preserve">ounty </w:t>
      </w:r>
      <w:r w:rsidR="00CA7572">
        <w:t>C</w:t>
      </w:r>
      <w:r w:rsidR="00F25AD0">
        <w:t>ouncil</w:t>
      </w:r>
      <w:r w:rsidRPr="002A48EA">
        <w:t xml:space="preserve"> will only use financial derivatives (such as swaps, forwards, futures and options)</w:t>
      </w:r>
      <w:r w:rsidR="00AF1F7A" w:rsidRPr="002A48EA">
        <w:t xml:space="preserve"> on a standalone basis,</w:t>
      </w:r>
      <w:r w:rsidRPr="002A48EA">
        <w:t xml:space="preserve"> where </w:t>
      </w:r>
      <w:r w:rsidR="00AF1F7A" w:rsidRPr="002A48EA">
        <w:t xml:space="preserve">it </w:t>
      </w:r>
      <w:r w:rsidRPr="002A48EA">
        <w:t>can be clearly demonstrated</w:t>
      </w:r>
      <w:r w:rsidR="00755F06" w:rsidRPr="002A48EA">
        <w:t xml:space="preserve"> that as part of the prudent management of the </w:t>
      </w:r>
      <w:r w:rsidR="00CA7572">
        <w:t>Co</w:t>
      </w:r>
      <w:r w:rsidR="00755F06" w:rsidRPr="002A48EA">
        <w:t>uncil's financial affairs the</w:t>
      </w:r>
      <w:r w:rsidR="00AF1F7A" w:rsidRPr="002A48EA">
        <w:t xml:space="preserve"> use of financial derivatives will</w:t>
      </w:r>
      <w:r w:rsidR="00755F06" w:rsidRPr="002A48EA">
        <w:t xml:space="preserve"> have</w:t>
      </w:r>
      <w:r w:rsidRPr="002A48EA">
        <w:t xml:space="preserve"> the</w:t>
      </w:r>
      <w:r w:rsidR="00755F06" w:rsidRPr="002A48EA">
        <w:t xml:space="preserve"> effect of reducing the </w:t>
      </w:r>
      <w:r w:rsidRPr="002A48EA">
        <w:t xml:space="preserve">level of financial risks that the </w:t>
      </w:r>
      <w:r w:rsidR="00CA7572">
        <w:t>C</w:t>
      </w:r>
      <w:r w:rsidR="00043461">
        <w:t xml:space="preserve">ounty </w:t>
      </w:r>
      <w:r w:rsidR="00CA7572">
        <w:t>C</w:t>
      </w:r>
      <w:r w:rsidRPr="002A48EA">
        <w:t xml:space="preserve">ouncil is exposed to.  </w:t>
      </w:r>
      <w:r w:rsidRPr="00735953">
        <w:t>Additional risks presented, such as credit exposure to derivative counterparties, will be taken into account when determining the overall level of risk.</w:t>
      </w:r>
      <w:r w:rsidRPr="002A48EA">
        <w:t xml:space="preserve">  </w:t>
      </w:r>
    </w:p>
    <w:p w:rsidR="00AA245E" w:rsidRDefault="00AA245E" w:rsidP="00025990">
      <w:pPr>
        <w:jc w:val="both"/>
      </w:pPr>
    </w:p>
    <w:p w:rsidR="00AA245E" w:rsidRDefault="00AA245E" w:rsidP="00025990">
      <w:pPr>
        <w:jc w:val="both"/>
      </w:pPr>
    </w:p>
    <w:p w:rsidR="00735953" w:rsidRDefault="00735953" w:rsidP="00735953">
      <w:pPr>
        <w:pStyle w:val="ListParagraph"/>
        <w:ind w:left="0"/>
        <w:jc w:val="both"/>
      </w:pPr>
      <w:r>
        <w:t xml:space="preserve">Many embedded derivatives are already used by local authorities across England and Wales including Lancashire County Council, although unlike the government, commercial sector and other public service areas stand-alone derivatives have not </w:t>
      </w:r>
      <w:r w:rsidR="00FB70CD">
        <w:t xml:space="preserve">generally </w:t>
      </w:r>
      <w:r>
        <w:t>been used.</w:t>
      </w:r>
    </w:p>
    <w:p w:rsidR="00233C79" w:rsidRDefault="00233C79" w:rsidP="00735953">
      <w:pPr>
        <w:pStyle w:val="ListParagraph"/>
        <w:ind w:left="0"/>
        <w:jc w:val="both"/>
      </w:pPr>
    </w:p>
    <w:p w:rsidR="00AA245E" w:rsidRDefault="00AA245E" w:rsidP="00AA245E">
      <w:pPr>
        <w:jc w:val="both"/>
      </w:pPr>
      <w:r>
        <w:t>A derivative is a financial instrument with three main features:</w:t>
      </w:r>
    </w:p>
    <w:p w:rsidR="00AA245E" w:rsidRDefault="00AA245E" w:rsidP="00AA245E">
      <w:pPr>
        <w:jc w:val="both"/>
      </w:pPr>
    </w:p>
    <w:p w:rsidR="00AA245E" w:rsidRDefault="00AA245E" w:rsidP="00AA245E">
      <w:pPr>
        <w:pStyle w:val="ListParagraph"/>
        <w:numPr>
          <w:ilvl w:val="0"/>
          <w:numId w:val="41"/>
        </w:numPr>
        <w:jc w:val="both"/>
      </w:pPr>
      <w:r>
        <w:t xml:space="preserve">The value changes in response to an underlying variable. </w:t>
      </w:r>
    </w:p>
    <w:p w:rsidR="00AA245E" w:rsidRDefault="00AA245E" w:rsidP="00AA245E">
      <w:pPr>
        <w:pStyle w:val="ListParagraph"/>
        <w:numPr>
          <w:ilvl w:val="0"/>
          <w:numId w:val="41"/>
        </w:numPr>
        <w:jc w:val="both"/>
      </w:pPr>
      <w:r>
        <w:t>The transaction requires no initial investment, or an initial net investment smaller than would be required for other types of contract with a similar expected response to market changes.</w:t>
      </w:r>
    </w:p>
    <w:p w:rsidR="00AA245E" w:rsidRDefault="00AA245E" w:rsidP="00AA245E">
      <w:pPr>
        <w:pStyle w:val="ListParagraph"/>
        <w:numPr>
          <w:ilvl w:val="0"/>
          <w:numId w:val="41"/>
        </w:numPr>
        <w:jc w:val="both"/>
      </w:pPr>
      <w:r>
        <w:t xml:space="preserve">The contract is settled at a </w:t>
      </w:r>
      <w:r w:rsidR="00FB70CD">
        <w:t xml:space="preserve">predetermined </w:t>
      </w:r>
      <w:r>
        <w:t>future date.</w:t>
      </w:r>
    </w:p>
    <w:p w:rsidR="00AA245E" w:rsidRDefault="00AA245E" w:rsidP="00AA245E">
      <w:pPr>
        <w:pStyle w:val="ListParagraph"/>
        <w:ind w:left="1500"/>
        <w:jc w:val="both"/>
      </w:pPr>
    </w:p>
    <w:p w:rsidR="008A0700" w:rsidRDefault="008A0700" w:rsidP="00AA245E">
      <w:pPr>
        <w:pStyle w:val="ListParagraph"/>
        <w:ind w:left="1500"/>
        <w:jc w:val="both"/>
      </w:pPr>
    </w:p>
    <w:p w:rsidR="00AA245E" w:rsidRPr="00AA245E" w:rsidRDefault="00AA245E" w:rsidP="00AA245E">
      <w:pPr>
        <w:pStyle w:val="ListParagraph"/>
        <w:ind w:left="0"/>
        <w:jc w:val="both"/>
        <w:rPr>
          <w:color w:val="FF0000"/>
        </w:rPr>
      </w:pPr>
      <w:r>
        <w:t xml:space="preserve">The underlying variable represents an existing external risk for which the hedge is required. Examples are a specified interest rate, a commodity price, a credit rating, a foreign exchange rate or any other variable, however as the County Council treasury activity is not directly exposed to all of these risks, for example foreign exchange or commodity prices, the County Council’s use of derivatives </w:t>
      </w:r>
      <w:r w:rsidRPr="00AA245E">
        <w:t xml:space="preserve">will be restricted to the management and hedging of interest and inflation rate risk only. </w:t>
      </w:r>
    </w:p>
    <w:p w:rsidR="00735953" w:rsidRDefault="00735953" w:rsidP="00AA245E">
      <w:pPr>
        <w:pStyle w:val="ListParagraph"/>
        <w:ind w:left="0"/>
        <w:jc w:val="both"/>
      </w:pPr>
    </w:p>
    <w:p w:rsidR="008A0700" w:rsidRDefault="008A0700" w:rsidP="00AA245E">
      <w:pPr>
        <w:pStyle w:val="ListParagraph"/>
        <w:ind w:left="0"/>
        <w:jc w:val="both"/>
      </w:pPr>
    </w:p>
    <w:p w:rsidR="00471A5B" w:rsidRDefault="00471A5B" w:rsidP="00AA245E">
      <w:pPr>
        <w:pStyle w:val="ListParagraph"/>
        <w:ind w:left="0"/>
        <w:jc w:val="both"/>
      </w:pPr>
    </w:p>
    <w:p w:rsidR="00471A5B" w:rsidRDefault="00471A5B" w:rsidP="00AA245E">
      <w:pPr>
        <w:pStyle w:val="ListParagraph"/>
        <w:ind w:left="0"/>
        <w:jc w:val="both"/>
      </w:pPr>
    </w:p>
    <w:p w:rsidR="008A0700" w:rsidRDefault="008A0700" w:rsidP="00AA245E">
      <w:pPr>
        <w:pStyle w:val="ListParagraph"/>
        <w:ind w:left="0"/>
        <w:jc w:val="both"/>
      </w:pPr>
    </w:p>
    <w:p w:rsidR="00471A5B" w:rsidRDefault="00471A5B" w:rsidP="00AA245E">
      <w:pPr>
        <w:pStyle w:val="ListParagraph"/>
        <w:ind w:left="0"/>
        <w:jc w:val="both"/>
      </w:pPr>
    </w:p>
    <w:p w:rsidR="00AA245E" w:rsidRDefault="00AA245E" w:rsidP="00AA245E">
      <w:pPr>
        <w:pStyle w:val="ListParagraph"/>
        <w:ind w:left="0"/>
        <w:jc w:val="both"/>
      </w:pPr>
      <w:bookmarkStart w:id="0" w:name="_GoBack"/>
      <w:bookmarkEnd w:id="0"/>
      <w:r>
        <w:t xml:space="preserve">The embedded and standalone derivatives which </w:t>
      </w:r>
      <w:r w:rsidR="00735953">
        <w:t>can</w:t>
      </w:r>
      <w:r>
        <w:t xml:space="preserve"> be used by the County Council to manage interest rate risk are summarised below:</w:t>
      </w:r>
    </w:p>
    <w:p w:rsidR="00AA245E" w:rsidRDefault="00AA245E" w:rsidP="00AA245E">
      <w:pPr>
        <w:pStyle w:val="ListParagraph"/>
        <w:ind w:left="0"/>
        <w:jc w:val="both"/>
      </w:pPr>
    </w:p>
    <w:tbl>
      <w:tblPr>
        <w:tblStyle w:val="TableGrid"/>
        <w:tblW w:w="9053" w:type="dxa"/>
        <w:tblLook w:val="04A0" w:firstRow="1" w:lastRow="0" w:firstColumn="1" w:lastColumn="0" w:noHBand="0" w:noVBand="1"/>
      </w:tblPr>
      <w:tblGrid>
        <w:gridCol w:w="1413"/>
        <w:gridCol w:w="2977"/>
        <w:gridCol w:w="2409"/>
        <w:gridCol w:w="2254"/>
      </w:tblGrid>
      <w:tr w:rsidR="00AA245E" w:rsidTr="00750FB1">
        <w:tc>
          <w:tcPr>
            <w:tcW w:w="1413" w:type="dxa"/>
          </w:tcPr>
          <w:p w:rsidR="00AA245E" w:rsidRDefault="00AA245E" w:rsidP="00750FB1">
            <w:pPr>
              <w:pStyle w:val="ListParagraph"/>
              <w:ind w:left="0"/>
              <w:jc w:val="both"/>
            </w:pPr>
            <w:r>
              <w:t>CLASS</w:t>
            </w:r>
          </w:p>
        </w:tc>
        <w:tc>
          <w:tcPr>
            <w:tcW w:w="2977" w:type="dxa"/>
          </w:tcPr>
          <w:p w:rsidR="00AA245E" w:rsidRDefault="00AA245E" w:rsidP="00750FB1">
            <w:pPr>
              <w:pStyle w:val="ListParagraph"/>
              <w:ind w:left="0"/>
              <w:jc w:val="both"/>
            </w:pPr>
            <w:r>
              <w:t>USE</w:t>
            </w:r>
          </w:p>
        </w:tc>
        <w:tc>
          <w:tcPr>
            <w:tcW w:w="2409" w:type="dxa"/>
          </w:tcPr>
          <w:p w:rsidR="00AA245E" w:rsidRDefault="00AA245E" w:rsidP="00750FB1">
            <w:pPr>
              <w:pStyle w:val="ListParagraph"/>
              <w:ind w:left="0"/>
              <w:jc w:val="both"/>
            </w:pPr>
            <w:r>
              <w:t>STANDALONE</w:t>
            </w:r>
          </w:p>
        </w:tc>
        <w:tc>
          <w:tcPr>
            <w:tcW w:w="2254" w:type="dxa"/>
          </w:tcPr>
          <w:p w:rsidR="00AA245E" w:rsidRDefault="00AA245E" w:rsidP="00750FB1">
            <w:pPr>
              <w:pStyle w:val="ListParagraph"/>
              <w:ind w:left="0"/>
              <w:jc w:val="both"/>
            </w:pPr>
            <w:r>
              <w:t>EMBEDED</w:t>
            </w:r>
          </w:p>
        </w:tc>
      </w:tr>
      <w:tr w:rsidR="00AA245E" w:rsidTr="00750FB1">
        <w:tc>
          <w:tcPr>
            <w:tcW w:w="1413" w:type="dxa"/>
          </w:tcPr>
          <w:p w:rsidR="00AA245E" w:rsidRDefault="00AA245E" w:rsidP="00750FB1">
            <w:pPr>
              <w:pStyle w:val="ListParagraph"/>
              <w:ind w:left="0"/>
              <w:jc w:val="both"/>
            </w:pPr>
          </w:p>
        </w:tc>
        <w:tc>
          <w:tcPr>
            <w:tcW w:w="2977" w:type="dxa"/>
          </w:tcPr>
          <w:p w:rsidR="00AA245E" w:rsidRDefault="00AA245E" w:rsidP="00750FB1">
            <w:pPr>
              <w:pStyle w:val="ListParagraph"/>
              <w:ind w:left="0"/>
              <w:jc w:val="both"/>
            </w:pPr>
          </w:p>
        </w:tc>
        <w:tc>
          <w:tcPr>
            <w:tcW w:w="2409" w:type="dxa"/>
          </w:tcPr>
          <w:p w:rsidR="00AA245E" w:rsidRDefault="00AA245E" w:rsidP="00750FB1">
            <w:pPr>
              <w:pStyle w:val="ListParagraph"/>
              <w:ind w:left="0"/>
              <w:jc w:val="both"/>
            </w:pPr>
          </w:p>
        </w:tc>
        <w:tc>
          <w:tcPr>
            <w:tcW w:w="2254" w:type="dxa"/>
          </w:tcPr>
          <w:p w:rsidR="00AA245E" w:rsidRDefault="00AA245E" w:rsidP="00750FB1">
            <w:pPr>
              <w:pStyle w:val="ListParagraph"/>
              <w:ind w:left="0"/>
              <w:jc w:val="both"/>
            </w:pPr>
          </w:p>
        </w:tc>
      </w:tr>
      <w:tr w:rsidR="00AA245E" w:rsidTr="00750FB1">
        <w:tc>
          <w:tcPr>
            <w:tcW w:w="1413" w:type="dxa"/>
          </w:tcPr>
          <w:p w:rsidR="00AA245E" w:rsidRDefault="00AA245E" w:rsidP="00750FB1">
            <w:pPr>
              <w:pStyle w:val="ListParagraph"/>
              <w:ind w:left="0"/>
              <w:jc w:val="both"/>
            </w:pPr>
            <w:r>
              <w:t>Forwards</w:t>
            </w:r>
          </w:p>
        </w:tc>
        <w:tc>
          <w:tcPr>
            <w:tcW w:w="2977" w:type="dxa"/>
          </w:tcPr>
          <w:p w:rsidR="00AA245E" w:rsidRDefault="00AA245E" w:rsidP="00750FB1">
            <w:pPr>
              <w:pStyle w:val="ListParagraph"/>
              <w:ind w:left="0"/>
              <w:jc w:val="both"/>
            </w:pPr>
            <w:r>
              <w:t xml:space="preserve">To fix an interest or </w:t>
            </w:r>
            <w:proofErr w:type="spellStart"/>
            <w:r>
              <w:t>inlation</w:t>
            </w:r>
            <w:proofErr w:type="spellEnd"/>
            <w:r>
              <w:t xml:space="preserve"> rate for a single period in the future.</w:t>
            </w:r>
          </w:p>
        </w:tc>
        <w:tc>
          <w:tcPr>
            <w:tcW w:w="2409" w:type="dxa"/>
          </w:tcPr>
          <w:p w:rsidR="00AA245E" w:rsidRDefault="00AA245E">
            <w:pPr>
              <w:pStyle w:val="ListParagraph"/>
              <w:ind w:left="0"/>
              <w:jc w:val="both"/>
            </w:pPr>
            <w:r>
              <w:t>Forward Rate Agreement (FRA)</w:t>
            </w:r>
            <w:r w:rsidR="006D03B4">
              <w:t>, gilt lock,</w:t>
            </w:r>
            <w:r>
              <w:t xml:space="preserve"> </w:t>
            </w:r>
            <w:r w:rsidR="006D03B4">
              <w:t>i</w:t>
            </w:r>
            <w:r>
              <w:t>nterest</w:t>
            </w:r>
            <w:r w:rsidR="006D03B4">
              <w:t xml:space="preserve"> rate </w:t>
            </w:r>
            <w:r>
              <w:t xml:space="preserve"> or gilt futures</w:t>
            </w:r>
          </w:p>
        </w:tc>
        <w:tc>
          <w:tcPr>
            <w:tcW w:w="2254" w:type="dxa"/>
          </w:tcPr>
          <w:p w:rsidR="00AA245E" w:rsidRDefault="00AA245E" w:rsidP="00750FB1">
            <w:pPr>
              <w:pStyle w:val="ListParagraph"/>
              <w:ind w:left="0"/>
              <w:jc w:val="both"/>
            </w:pPr>
            <w:r>
              <w:t>Forward Deal</w:t>
            </w:r>
          </w:p>
        </w:tc>
      </w:tr>
      <w:tr w:rsidR="00AA245E" w:rsidTr="00750FB1">
        <w:tc>
          <w:tcPr>
            <w:tcW w:w="1413" w:type="dxa"/>
          </w:tcPr>
          <w:p w:rsidR="00AA245E" w:rsidRDefault="00AA245E" w:rsidP="00750FB1">
            <w:pPr>
              <w:pStyle w:val="ListParagraph"/>
              <w:ind w:left="0"/>
              <w:jc w:val="both"/>
            </w:pPr>
            <w:r>
              <w:t>Swaps</w:t>
            </w:r>
          </w:p>
        </w:tc>
        <w:tc>
          <w:tcPr>
            <w:tcW w:w="2977" w:type="dxa"/>
          </w:tcPr>
          <w:p w:rsidR="00AA245E" w:rsidRDefault="00AA245E" w:rsidP="00750FB1">
            <w:pPr>
              <w:pStyle w:val="ListParagraph"/>
              <w:ind w:left="0"/>
              <w:jc w:val="both"/>
            </w:pPr>
            <w:r>
              <w:t>To exchange interest  or inflation rate exposures (</w:t>
            </w:r>
            <w:proofErr w:type="spellStart"/>
            <w:r>
              <w:t>eg</w:t>
            </w:r>
            <w:proofErr w:type="spellEnd"/>
            <w:r>
              <w:t>. fixed to floating)</w:t>
            </w:r>
          </w:p>
        </w:tc>
        <w:tc>
          <w:tcPr>
            <w:tcW w:w="2409" w:type="dxa"/>
          </w:tcPr>
          <w:p w:rsidR="00AA245E" w:rsidRDefault="00AA245E" w:rsidP="00750FB1">
            <w:pPr>
              <w:pStyle w:val="ListParagraph"/>
              <w:ind w:left="0"/>
              <w:jc w:val="both"/>
            </w:pPr>
            <w:r>
              <w:t>Interest or inflation rate swap (IRS), Basis swap.</w:t>
            </w:r>
          </w:p>
        </w:tc>
        <w:tc>
          <w:tcPr>
            <w:tcW w:w="2254" w:type="dxa"/>
          </w:tcPr>
          <w:p w:rsidR="00AA245E" w:rsidRDefault="006D03B4" w:rsidP="00750FB1">
            <w:pPr>
              <w:pStyle w:val="ListParagraph"/>
              <w:ind w:left="0"/>
              <w:jc w:val="both"/>
            </w:pPr>
            <w:r>
              <w:t xml:space="preserve">Variable </w:t>
            </w:r>
            <w:r w:rsidR="00AA245E">
              <w:t>rate deposit, Floating rate note.</w:t>
            </w:r>
          </w:p>
          <w:p w:rsidR="00AA245E" w:rsidRDefault="00AA245E" w:rsidP="00750FB1">
            <w:pPr>
              <w:pStyle w:val="ListParagraph"/>
              <w:ind w:left="0"/>
              <w:jc w:val="both"/>
            </w:pPr>
          </w:p>
        </w:tc>
      </w:tr>
      <w:tr w:rsidR="00AA245E" w:rsidTr="00750FB1">
        <w:tc>
          <w:tcPr>
            <w:tcW w:w="1413" w:type="dxa"/>
          </w:tcPr>
          <w:p w:rsidR="00AA245E" w:rsidRDefault="006D03B4" w:rsidP="00750FB1">
            <w:pPr>
              <w:pStyle w:val="ListParagraph"/>
              <w:ind w:left="0"/>
              <w:jc w:val="both"/>
            </w:pPr>
            <w:r>
              <w:t xml:space="preserve">Purchased </w:t>
            </w:r>
            <w:r w:rsidR="00AA245E">
              <w:t>Options</w:t>
            </w:r>
          </w:p>
        </w:tc>
        <w:tc>
          <w:tcPr>
            <w:tcW w:w="2977" w:type="dxa"/>
          </w:tcPr>
          <w:p w:rsidR="00AA245E" w:rsidRDefault="00AA245E" w:rsidP="00750FB1">
            <w:pPr>
              <w:pStyle w:val="ListParagraph"/>
              <w:ind w:left="0"/>
              <w:jc w:val="both"/>
            </w:pPr>
            <w:r>
              <w:t>The right but no obligation to fix an interest or inflation rate</w:t>
            </w:r>
            <w:r w:rsidR="006D03B4">
              <w:t xml:space="preserve"> in exchange for paying a premium.</w:t>
            </w:r>
          </w:p>
        </w:tc>
        <w:tc>
          <w:tcPr>
            <w:tcW w:w="2409" w:type="dxa"/>
          </w:tcPr>
          <w:p w:rsidR="00AA245E" w:rsidRDefault="00AA245E" w:rsidP="00750FB1">
            <w:pPr>
              <w:pStyle w:val="ListParagraph"/>
              <w:ind w:left="0"/>
              <w:jc w:val="both"/>
            </w:pPr>
            <w:r>
              <w:t xml:space="preserve">Caps, floors, collars, </w:t>
            </w:r>
            <w:proofErr w:type="spellStart"/>
            <w:r>
              <w:t>swaptions</w:t>
            </w:r>
            <w:proofErr w:type="spellEnd"/>
            <w:r>
              <w:t>, puts, calls</w:t>
            </w:r>
          </w:p>
        </w:tc>
        <w:tc>
          <w:tcPr>
            <w:tcW w:w="2254" w:type="dxa"/>
          </w:tcPr>
          <w:p w:rsidR="00AA245E" w:rsidRDefault="00AA245E" w:rsidP="00750FB1">
            <w:pPr>
              <w:pStyle w:val="ListParagraph"/>
              <w:ind w:left="0"/>
              <w:jc w:val="both"/>
            </w:pPr>
            <w:r>
              <w:t>Callable loan</w:t>
            </w:r>
          </w:p>
          <w:p w:rsidR="00AA245E" w:rsidRDefault="00AA245E" w:rsidP="00750FB1">
            <w:pPr>
              <w:pStyle w:val="ListParagraph"/>
              <w:ind w:left="0"/>
              <w:jc w:val="both"/>
            </w:pPr>
            <w:r>
              <w:t>Collared deposit</w:t>
            </w:r>
          </w:p>
          <w:p w:rsidR="00AA245E" w:rsidRDefault="00AA245E" w:rsidP="00750FB1">
            <w:pPr>
              <w:pStyle w:val="ListParagraph"/>
              <w:ind w:left="0"/>
              <w:jc w:val="both"/>
            </w:pPr>
          </w:p>
        </w:tc>
      </w:tr>
    </w:tbl>
    <w:p w:rsidR="00AA245E" w:rsidRDefault="00AA245E" w:rsidP="00025990">
      <w:pPr>
        <w:jc w:val="both"/>
      </w:pPr>
    </w:p>
    <w:p w:rsidR="006D03B4" w:rsidRPr="00BF0506" w:rsidRDefault="006D03B4" w:rsidP="006D03B4">
      <w:pPr>
        <w:jc w:val="both"/>
      </w:pPr>
      <w:r w:rsidRPr="00BF0506">
        <w:t>The Council will not sell interest rate or inflation rate options, (i.e. give another party the right to fix a rate) since these cannot reduce the Council’s risk. The only exception is where a sold option is combined with a purchased option of equal or higher premium to create a collar.</w:t>
      </w:r>
    </w:p>
    <w:p w:rsidR="006D03B4" w:rsidRPr="002A48EA" w:rsidRDefault="006D03B4" w:rsidP="00025990">
      <w:pPr>
        <w:jc w:val="both"/>
      </w:pPr>
    </w:p>
    <w:p w:rsidR="00233C79" w:rsidRDefault="00CA4968" w:rsidP="00025990">
      <w:pPr>
        <w:jc w:val="both"/>
      </w:pPr>
      <w:r>
        <w:t>There are two methods of engaging in derivative contracts, exchange traded</w:t>
      </w:r>
      <w:r w:rsidR="00FB70CD">
        <w:t xml:space="preserve"> or settled</w:t>
      </w:r>
      <w:r>
        <w:t xml:space="preserve"> derivatives and over the counter (OTC) derivatives. The form</w:t>
      </w:r>
      <w:r w:rsidR="0081300A">
        <w:t>e</w:t>
      </w:r>
      <w:r>
        <w:t>r are available in public markets and trade over a physical exchange with a clearing house acting as an intermed</w:t>
      </w:r>
      <w:r w:rsidR="0081300A">
        <w:t>iary and include futures and options. OTC contracts are privately negotiated and traded between two counterparties and</w:t>
      </w:r>
      <w:r w:rsidR="00FB70CD">
        <w:t xml:space="preserve"> can</w:t>
      </w:r>
      <w:r w:rsidR="0081300A">
        <w:t xml:space="preserve"> include swaps and forwards.</w:t>
      </w:r>
      <w:r w:rsidR="00FB70CD">
        <w:t xml:space="preserve"> </w:t>
      </w:r>
    </w:p>
    <w:p w:rsidR="001B0774" w:rsidRDefault="001B0774" w:rsidP="00025990">
      <w:pPr>
        <w:jc w:val="both"/>
      </w:pPr>
    </w:p>
    <w:p w:rsidR="0081300A" w:rsidRDefault="001B0774" w:rsidP="00025990">
      <w:pPr>
        <w:jc w:val="both"/>
      </w:pPr>
      <w:r>
        <w:t xml:space="preserve">In a derivative contract both parties are </w:t>
      </w:r>
      <w:r w:rsidR="006D03B4">
        <w:t xml:space="preserve">often </w:t>
      </w:r>
      <w:r>
        <w:t xml:space="preserve">required to provide collateral </w:t>
      </w:r>
      <w:r w:rsidR="00BD7599">
        <w:t xml:space="preserve">(i.e. pools of valuable and liquid assets set aside specifically to back liabilities arising from the contract) </w:t>
      </w:r>
      <w:r>
        <w:t xml:space="preserve">to reduce </w:t>
      </w:r>
      <w:r w:rsidR="00BD7599">
        <w:t xml:space="preserve">credit risk. </w:t>
      </w:r>
      <w:r w:rsidR="0081300A">
        <w:t>The method of assessing counterparty quality a</w:t>
      </w:r>
      <w:r>
        <w:t xml:space="preserve">nd suitability of collateral within the structure </w:t>
      </w:r>
      <w:r w:rsidR="0081300A">
        <w:t xml:space="preserve">of the contracts </w:t>
      </w:r>
      <w:r>
        <w:t>is shown below:</w:t>
      </w:r>
    </w:p>
    <w:p w:rsidR="0081300A" w:rsidRDefault="0081300A" w:rsidP="00025990">
      <w:pPr>
        <w:jc w:val="both"/>
      </w:pPr>
    </w:p>
    <w:p w:rsidR="0081300A" w:rsidRDefault="0081300A" w:rsidP="00025990">
      <w:pPr>
        <w:jc w:val="both"/>
      </w:pPr>
    </w:p>
    <w:tbl>
      <w:tblPr>
        <w:tblStyle w:val="TableGrid"/>
        <w:tblW w:w="9302" w:type="dxa"/>
        <w:tblLook w:val="04A0" w:firstRow="1" w:lastRow="0" w:firstColumn="1" w:lastColumn="0" w:noHBand="0" w:noVBand="1"/>
      </w:tblPr>
      <w:tblGrid>
        <w:gridCol w:w="2325"/>
        <w:gridCol w:w="2325"/>
        <w:gridCol w:w="2326"/>
        <w:gridCol w:w="2326"/>
      </w:tblGrid>
      <w:tr w:rsidR="0081300A" w:rsidTr="00750FB1">
        <w:trPr>
          <w:trHeight w:val="447"/>
        </w:trPr>
        <w:tc>
          <w:tcPr>
            <w:tcW w:w="2325" w:type="dxa"/>
          </w:tcPr>
          <w:p w:rsidR="0081300A" w:rsidRDefault="0081300A" w:rsidP="00750FB1">
            <w:pPr>
              <w:jc w:val="both"/>
            </w:pPr>
            <w:r>
              <w:t>PRODUCT</w:t>
            </w:r>
          </w:p>
        </w:tc>
        <w:tc>
          <w:tcPr>
            <w:tcW w:w="2325" w:type="dxa"/>
          </w:tcPr>
          <w:p w:rsidR="0081300A" w:rsidRDefault="001B0774" w:rsidP="001B0774">
            <w:pPr>
              <w:jc w:val="center"/>
            </w:pPr>
            <w:r>
              <w:t>COUNTERPARTY</w:t>
            </w:r>
          </w:p>
          <w:p w:rsidR="001B0774" w:rsidRDefault="001B0774" w:rsidP="001B0774">
            <w:pPr>
              <w:jc w:val="center"/>
            </w:pPr>
            <w:r>
              <w:t>QUALITY</w:t>
            </w:r>
          </w:p>
        </w:tc>
        <w:tc>
          <w:tcPr>
            <w:tcW w:w="2326" w:type="dxa"/>
          </w:tcPr>
          <w:p w:rsidR="0081300A" w:rsidRDefault="001B0774" w:rsidP="00750FB1">
            <w:pPr>
              <w:jc w:val="both"/>
            </w:pPr>
            <w:r>
              <w:t>SECURITY</w:t>
            </w:r>
          </w:p>
        </w:tc>
        <w:tc>
          <w:tcPr>
            <w:tcW w:w="2326" w:type="dxa"/>
          </w:tcPr>
          <w:p w:rsidR="0081300A" w:rsidRDefault="0081300A" w:rsidP="00750FB1">
            <w:pPr>
              <w:jc w:val="both"/>
            </w:pPr>
          </w:p>
        </w:tc>
      </w:tr>
      <w:tr w:rsidR="0081300A" w:rsidTr="00750FB1">
        <w:trPr>
          <w:trHeight w:val="447"/>
        </w:trPr>
        <w:tc>
          <w:tcPr>
            <w:tcW w:w="2325" w:type="dxa"/>
          </w:tcPr>
          <w:p w:rsidR="0081300A" w:rsidRDefault="0081300A" w:rsidP="00750FB1">
            <w:pPr>
              <w:jc w:val="both"/>
            </w:pPr>
            <w:r>
              <w:t>Exchange traded or cleared product</w:t>
            </w:r>
          </w:p>
        </w:tc>
        <w:tc>
          <w:tcPr>
            <w:tcW w:w="2325" w:type="dxa"/>
          </w:tcPr>
          <w:p w:rsidR="0081300A" w:rsidRDefault="0081300A" w:rsidP="00750FB1">
            <w:pPr>
              <w:jc w:val="both"/>
            </w:pPr>
            <w:r>
              <w:t>Credit rating of exchange</w:t>
            </w:r>
          </w:p>
        </w:tc>
        <w:tc>
          <w:tcPr>
            <w:tcW w:w="2326" w:type="dxa"/>
          </w:tcPr>
          <w:p w:rsidR="0081300A" w:rsidRDefault="0081300A" w:rsidP="00750FB1">
            <w:pPr>
              <w:jc w:val="both"/>
            </w:pPr>
            <w:r>
              <w:t>Credit rating of Clearing agent</w:t>
            </w:r>
          </w:p>
        </w:tc>
        <w:tc>
          <w:tcPr>
            <w:tcW w:w="2326" w:type="dxa"/>
          </w:tcPr>
          <w:p w:rsidR="0081300A" w:rsidRDefault="0081300A" w:rsidP="00750FB1">
            <w:pPr>
              <w:jc w:val="both"/>
            </w:pPr>
            <w:r>
              <w:t xml:space="preserve">Margin netting </w:t>
            </w:r>
          </w:p>
        </w:tc>
      </w:tr>
      <w:tr w:rsidR="0081300A" w:rsidTr="00750FB1">
        <w:trPr>
          <w:trHeight w:val="447"/>
        </w:trPr>
        <w:tc>
          <w:tcPr>
            <w:tcW w:w="2325" w:type="dxa"/>
          </w:tcPr>
          <w:p w:rsidR="0081300A" w:rsidRDefault="0081300A" w:rsidP="00750FB1">
            <w:pPr>
              <w:jc w:val="both"/>
            </w:pPr>
            <w:r>
              <w:t>Bilateral FRAs and  swaps assuming netting</w:t>
            </w:r>
          </w:p>
        </w:tc>
        <w:tc>
          <w:tcPr>
            <w:tcW w:w="2325" w:type="dxa"/>
          </w:tcPr>
          <w:p w:rsidR="0081300A" w:rsidRDefault="0081300A" w:rsidP="00750FB1">
            <w:pPr>
              <w:jc w:val="both"/>
            </w:pPr>
            <w:r>
              <w:t>Credit rating of counterparty</w:t>
            </w:r>
          </w:p>
        </w:tc>
        <w:tc>
          <w:tcPr>
            <w:tcW w:w="2326" w:type="dxa"/>
          </w:tcPr>
          <w:p w:rsidR="0081300A" w:rsidRDefault="0081300A" w:rsidP="00750FB1">
            <w:pPr>
              <w:jc w:val="both"/>
            </w:pPr>
            <w:r>
              <w:t>Full 2-way collateral arrangements</w:t>
            </w:r>
          </w:p>
        </w:tc>
        <w:tc>
          <w:tcPr>
            <w:tcW w:w="2326" w:type="dxa"/>
          </w:tcPr>
          <w:p w:rsidR="0081300A" w:rsidRDefault="0081300A" w:rsidP="00750FB1">
            <w:pPr>
              <w:jc w:val="both"/>
            </w:pPr>
            <w:r>
              <w:t>Types of collateral agreed and any haircuts</w:t>
            </w:r>
          </w:p>
        </w:tc>
      </w:tr>
      <w:tr w:rsidR="0081300A" w:rsidTr="00750FB1">
        <w:trPr>
          <w:trHeight w:val="447"/>
        </w:trPr>
        <w:tc>
          <w:tcPr>
            <w:tcW w:w="2325" w:type="dxa"/>
          </w:tcPr>
          <w:p w:rsidR="0081300A" w:rsidRDefault="0081300A" w:rsidP="00750FB1">
            <w:pPr>
              <w:jc w:val="both"/>
            </w:pPr>
            <w:r>
              <w:t>OTC Options</w:t>
            </w:r>
          </w:p>
        </w:tc>
        <w:tc>
          <w:tcPr>
            <w:tcW w:w="2325" w:type="dxa"/>
          </w:tcPr>
          <w:p w:rsidR="0081300A" w:rsidRDefault="0081300A" w:rsidP="00750FB1">
            <w:pPr>
              <w:jc w:val="both"/>
            </w:pPr>
            <w:r>
              <w:t>Credit rating of counterparty</w:t>
            </w:r>
          </w:p>
        </w:tc>
        <w:tc>
          <w:tcPr>
            <w:tcW w:w="2326" w:type="dxa"/>
          </w:tcPr>
          <w:p w:rsidR="0081300A" w:rsidRDefault="0081300A" w:rsidP="00750FB1">
            <w:pPr>
              <w:jc w:val="both"/>
            </w:pPr>
            <w:r>
              <w:t xml:space="preserve">Agreed full 2-way collateral </w:t>
            </w:r>
          </w:p>
        </w:tc>
        <w:tc>
          <w:tcPr>
            <w:tcW w:w="2326" w:type="dxa"/>
          </w:tcPr>
          <w:p w:rsidR="0081300A" w:rsidRDefault="0081300A" w:rsidP="00750FB1">
            <w:pPr>
              <w:jc w:val="both"/>
            </w:pPr>
            <w:r>
              <w:t>Types of collateral and haircuts</w:t>
            </w:r>
          </w:p>
        </w:tc>
      </w:tr>
      <w:tr w:rsidR="0081300A" w:rsidTr="00750FB1">
        <w:trPr>
          <w:trHeight w:val="472"/>
        </w:trPr>
        <w:tc>
          <w:tcPr>
            <w:tcW w:w="2325" w:type="dxa"/>
          </w:tcPr>
          <w:p w:rsidR="0081300A" w:rsidRDefault="0081300A" w:rsidP="00750FB1">
            <w:pPr>
              <w:jc w:val="both"/>
            </w:pPr>
            <w:r>
              <w:t xml:space="preserve">Intra LA swaps </w:t>
            </w:r>
            <w:proofErr w:type="spellStart"/>
            <w:r>
              <w:t>etc</w:t>
            </w:r>
            <w:proofErr w:type="spellEnd"/>
          </w:p>
        </w:tc>
        <w:tc>
          <w:tcPr>
            <w:tcW w:w="2325" w:type="dxa"/>
          </w:tcPr>
          <w:p w:rsidR="0081300A" w:rsidRDefault="0081300A" w:rsidP="00750FB1">
            <w:pPr>
              <w:jc w:val="both"/>
            </w:pPr>
            <w:r>
              <w:t>Assumed Credit rating</w:t>
            </w:r>
          </w:p>
        </w:tc>
        <w:tc>
          <w:tcPr>
            <w:tcW w:w="2326" w:type="dxa"/>
          </w:tcPr>
          <w:p w:rsidR="0081300A" w:rsidRDefault="0081300A" w:rsidP="00750FB1">
            <w:pPr>
              <w:jc w:val="both"/>
            </w:pPr>
            <w:r>
              <w:t>2-way collateral (cash)</w:t>
            </w:r>
          </w:p>
        </w:tc>
        <w:tc>
          <w:tcPr>
            <w:tcW w:w="2326" w:type="dxa"/>
          </w:tcPr>
          <w:p w:rsidR="0081300A" w:rsidRDefault="0081300A" w:rsidP="00750FB1">
            <w:pPr>
              <w:jc w:val="both"/>
            </w:pPr>
            <w:r>
              <w:t xml:space="preserve">No haircut </w:t>
            </w:r>
          </w:p>
        </w:tc>
      </w:tr>
    </w:tbl>
    <w:p w:rsidR="0081300A" w:rsidRDefault="0081300A" w:rsidP="00025990">
      <w:pPr>
        <w:jc w:val="both"/>
      </w:pPr>
    </w:p>
    <w:p w:rsidR="00023306" w:rsidRDefault="00BD7599" w:rsidP="00025990">
      <w:pPr>
        <w:jc w:val="both"/>
      </w:pPr>
      <w:r>
        <w:t xml:space="preserve">The credit quality of the collateral acceptable to the County Council will be determined by the credit rating of the counterparty or exchange, along with credit default swap </w:t>
      </w:r>
      <w:r>
        <w:lastRenderedPageBreak/>
        <w:t xml:space="preserve">prices which react much quicker than credit rating agencies and can be used as early indicators of credit or liquidity </w:t>
      </w:r>
      <w:r w:rsidR="00023306">
        <w:t>problems.</w:t>
      </w:r>
    </w:p>
    <w:p w:rsidR="00023306" w:rsidRDefault="00023306" w:rsidP="00025990">
      <w:pPr>
        <w:jc w:val="both"/>
      </w:pPr>
    </w:p>
    <w:p w:rsidR="00023306" w:rsidRDefault="00023306" w:rsidP="00025990">
      <w:pPr>
        <w:jc w:val="both"/>
      </w:pPr>
      <w:r>
        <w:t>The table below defines the appropriate limits for collateral quality:</w:t>
      </w:r>
    </w:p>
    <w:p w:rsidR="00023306" w:rsidRDefault="00023306" w:rsidP="00025990">
      <w:pPr>
        <w:jc w:val="both"/>
      </w:pPr>
    </w:p>
    <w:tbl>
      <w:tblPr>
        <w:tblStyle w:val="TableGrid"/>
        <w:tblW w:w="0" w:type="auto"/>
        <w:tblLook w:val="04A0" w:firstRow="1" w:lastRow="0" w:firstColumn="1" w:lastColumn="0" w:noHBand="0" w:noVBand="1"/>
      </w:tblPr>
      <w:tblGrid>
        <w:gridCol w:w="1812"/>
        <w:gridCol w:w="1845"/>
        <w:gridCol w:w="1755"/>
        <w:gridCol w:w="1846"/>
        <w:gridCol w:w="1758"/>
      </w:tblGrid>
      <w:tr w:rsidR="00023306" w:rsidTr="00750FB1">
        <w:tc>
          <w:tcPr>
            <w:tcW w:w="1848" w:type="dxa"/>
          </w:tcPr>
          <w:p w:rsidR="00023306" w:rsidRDefault="00023306" w:rsidP="00750FB1">
            <w:pPr>
              <w:jc w:val="both"/>
            </w:pPr>
            <w:r>
              <w:t>Counterparty type</w:t>
            </w:r>
          </w:p>
        </w:tc>
        <w:tc>
          <w:tcPr>
            <w:tcW w:w="1848" w:type="dxa"/>
          </w:tcPr>
          <w:p w:rsidR="00023306" w:rsidRDefault="00023306" w:rsidP="00750FB1">
            <w:pPr>
              <w:jc w:val="both"/>
            </w:pPr>
            <w:r>
              <w:t>Documentation</w:t>
            </w:r>
          </w:p>
        </w:tc>
        <w:tc>
          <w:tcPr>
            <w:tcW w:w="1848" w:type="dxa"/>
          </w:tcPr>
          <w:p w:rsidR="00023306" w:rsidRDefault="00023306" w:rsidP="00750FB1">
            <w:pPr>
              <w:jc w:val="both"/>
            </w:pPr>
            <w:r>
              <w:t>Collateral types</w:t>
            </w:r>
          </w:p>
        </w:tc>
        <w:tc>
          <w:tcPr>
            <w:tcW w:w="1849" w:type="dxa"/>
          </w:tcPr>
          <w:p w:rsidR="00023306" w:rsidRDefault="00023306" w:rsidP="00750FB1">
            <w:pPr>
              <w:jc w:val="both"/>
            </w:pPr>
            <w:r>
              <w:t>CDS levels</w:t>
            </w:r>
          </w:p>
        </w:tc>
        <w:tc>
          <w:tcPr>
            <w:tcW w:w="1849" w:type="dxa"/>
          </w:tcPr>
          <w:p w:rsidR="00023306" w:rsidRDefault="00023306" w:rsidP="00750FB1">
            <w:pPr>
              <w:jc w:val="both"/>
            </w:pPr>
            <w:r>
              <w:t>Rating</w:t>
            </w:r>
          </w:p>
        </w:tc>
      </w:tr>
      <w:tr w:rsidR="00023306" w:rsidTr="00750FB1">
        <w:tc>
          <w:tcPr>
            <w:tcW w:w="1848" w:type="dxa"/>
          </w:tcPr>
          <w:p w:rsidR="00023306" w:rsidRDefault="00023306" w:rsidP="00750FB1">
            <w:pPr>
              <w:jc w:val="both"/>
            </w:pPr>
            <w:r>
              <w:t>Exchange</w:t>
            </w:r>
          </w:p>
        </w:tc>
        <w:tc>
          <w:tcPr>
            <w:tcW w:w="1848" w:type="dxa"/>
          </w:tcPr>
          <w:p w:rsidR="00023306" w:rsidRDefault="00023306" w:rsidP="00750FB1">
            <w:pPr>
              <w:jc w:val="both"/>
            </w:pPr>
            <w:r>
              <w:t>MIFCA</w:t>
            </w:r>
          </w:p>
        </w:tc>
        <w:tc>
          <w:tcPr>
            <w:tcW w:w="1848" w:type="dxa"/>
          </w:tcPr>
          <w:p w:rsidR="00023306" w:rsidRDefault="00023306" w:rsidP="00750FB1">
            <w:pPr>
              <w:jc w:val="both"/>
            </w:pPr>
            <w:r>
              <w:t>Cash margins</w:t>
            </w:r>
          </w:p>
        </w:tc>
        <w:tc>
          <w:tcPr>
            <w:tcW w:w="1849" w:type="dxa"/>
          </w:tcPr>
          <w:p w:rsidR="00023306" w:rsidRDefault="00023306" w:rsidP="00750FB1">
            <w:pPr>
              <w:jc w:val="both"/>
            </w:pPr>
            <w:r>
              <w:t>&lt;75bp</w:t>
            </w:r>
          </w:p>
        </w:tc>
        <w:tc>
          <w:tcPr>
            <w:tcW w:w="1849" w:type="dxa"/>
          </w:tcPr>
          <w:p w:rsidR="00023306" w:rsidRDefault="00023306" w:rsidP="00750FB1">
            <w:pPr>
              <w:jc w:val="both"/>
            </w:pPr>
            <w:r>
              <w:t>AA</w:t>
            </w:r>
          </w:p>
        </w:tc>
      </w:tr>
      <w:tr w:rsidR="00023306" w:rsidTr="00750FB1">
        <w:tc>
          <w:tcPr>
            <w:tcW w:w="1848" w:type="dxa"/>
          </w:tcPr>
          <w:p w:rsidR="00023306" w:rsidRDefault="00023306" w:rsidP="00750FB1">
            <w:pPr>
              <w:jc w:val="both"/>
            </w:pPr>
            <w:r>
              <w:t>Banks</w:t>
            </w:r>
          </w:p>
        </w:tc>
        <w:tc>
          <w:tcPr>
            <w:tcW w:w="1848" w:type="dxa"/>
          </w:tcPr>
          <w:p w:rsidR="00023306" w:rsidRDefault="00023306" w:rsidP="00750FB1">
            <w:pPr>
              <w:jc w:val="both"/>
            </w:pPr>
            <w:r>
              <w:t>ISDA/CSA</w:t>
            </w:r>
          </w:p>
        </w:tc>
        <w:tc>
          <w:tcPr>
            <w:tcW w:w="1848" w:type="dxa"/>
          </w:tcPr>
          <w:p w:rsidR="00023306" w:rsidRDefault="00023306" w:rsidP="00750FB1">
            <w:pPr>
              <w:jc w:val="both"/>
            </w:pPr>
            <w:r>
              <w:t xml:space="preserve">Cash and </w:t>
            </w:r>
            <w:proofErr w:type="spellStart"/>
            <w:r>
              <w:t>Govt</w:t>
            </w:r>
            <w:proofErr w:type="spellEnd"/>
            <w:r>
              <w:t xml:space="preserve"> bonds</w:t>
            </w:r>
          </w:p>
        </w:tc>
        <w:tc>
          <w:tcPr>
            <w:tcW w:w="1849" w:type="dxa"/>
          </w:tcPr>
          <w:p w:rsidR="00023306" w:rsidRDefault="00023306" w:rsidP="00750FB1">
            <w:pPr>
              <w:jc w:val="both"/>
            </w:pPr>
            <w:r>
              <w:t>&lt;100bp</w:t>
            </w:r>
          </w:p>
        </w:tc>
        <w:tc>
          <w:tcPr>
            <w:tcW w:w="1849" w:type="dxa"/>
          </w:tcPr>
          <w:p w:rsidR="00023306" w:rsidRDefault="00023306" w:rsidP="00750FB1">
            <w:pPr>
              <w:jc w:val="both"/>
            </w:pPr>
            <w:r>
              <w:t>A3</w:t>
            </w:r>
          </w:p>
        </w:tc>
      </w:tr>
      <w:tr w:rsidR="00023306" w:rsidTr="00750FB1">
        <w:tc>
          <w:tcPr>
            <w:tcW w:w="1848" w:type="dxa"/>
          </w:tcPr>
          <w:p w:rsidR="00023306" w:rsidRDefault="00023306" w:rsidP="00750FB1">
            <w:pPr>
              <w:jc w:val="both"/>
            </w:pPr>
            <w:r>
              <w:t>Insurers and Pension Funds</w:t>
            </w:r>
          </w:p>
        </w:tc>
        <w:tc>
          <w:tcPr>
            <w:tcW w:w="1848" w:type="dxa"/>
          </w:tcPr>
          <w:p w:rsidR="00023306" w:rsidRDefault="00023306" w:rsidP="00750FB1">
            <w:pPr>
              <w:jc w:val="both"/>
            </w:pPr>
            <w:r>
              <w:t>ISDA CSA</w:t>
            </w:r>
          </w:p>
        </w:tc>
        <w:tc>
          <w:tcPr>
            <w:tcW w:w="1848" w:type="dxa"/>
          </w:tcPr>
          <w:p w:rsidR="00023306" w:rsidRDefault="00023306" w:rsidP="00750FB1">
            <w:pPr>
              <w:jc w:val="both"/>
            </w:pPr>
            <w:r>
              <w:t>Cash</w:t>
            </w:r>
            <w:r w:rsidR="00EA6E8D">
              <w:t>,</w:t>
            </w:r>
            <w:r>
              <w:t xml:space="preserve"> </w:t>
            </w:r>
            <w:proofErr w:type="spellStart"/>
            <w:r>
              <w:t>Govt</w:t>
            </w:r>
            <w:proofErr w:type="spellEnd"/>
            <w:r>
              <w:t xml:space="preserve"> Bonds</w:t>
            </w:r>
          </w:p>
        </w:tc>
        <w:tc>
          <w:tcPr>
            <w:tcW w:w="1849" w:type="dxa"/>
          </w:tcPr>
          <w:p w:rsidR="00023306" w:rsidRDefault="00023306" w:rsidP="00750FB1">
            <w:pPr>
              <w:jc w:val="both"/>
            </w:pPr>
            <w:r>
              <w:t>&lt;100 (Insurers)</w:t>
            </w:r>
          </w:p>
        </w:tc>
        <w:tc>
          <w:tcPr>
            <w:tcW w:w="1849" w:type="dxa"/>
          </w:tcPr>
          <w:p w:rsidR="00023306" w:rsidRDefault="00023306" w:rsidP="00750FB1">
            <w:pPr>
              <w:jc w:val="both"/>
            </w:pPr>
            <w:r>
              <w:t>A3 (Insurers)</w:t>
            </w:r>
          </w:p>
        </w:tc>
      </w:tr>
      <w:tr w:rsidR="00023306" w:rsidTr="00750FB1">
        <w:tc>
          <w:tcPr>
            <w:tcW w:w="1848" w:type="dxa"/>
          </w:tcPr>
          <w:p w:rsidR="00023306" w:rsidRDefault="00023306" w:rsidP="00750FB1">
            <w:pPr>
              <w:jc w:val="both"/>
            </w:pPr>
            <w:r>
              <w:t>LAs</w:t>
            </w:r>
          </w:p>
        </w:tc>
        <w:tc>
          <w:tcPr>
            <w:tcW w:w="1848" w:type="dxa"/>
          </w:tcPr>
          <w:p w:rsidR="00023306" w:rsidRDefault="00023306" w:rsidP="00750FB1">
            <w:pPr>
              <w:jc w:val="both"/>
            </w:pPr>
            <w:r>
              <w:t>Contract</w:t>
            </w:r>
          </w:p>
        </w:tc>
        <w:tc>
          <w:tcPr>
            <w:tcW w:w="1848" w:type="dxa"/>
          </w:tcPr>
          <w:p w:rsidR="00023306" w:rsidRDefault="00023306" w:rsidP="00750FB1">
            <w:pPr>
              <w:jc w:val="both"/>
            </w:pPr>
            <w:r>
              <w:t>Cash</w:t>
            </w:r>
            <w:r w:rsidR="00EA6E8D">
              <w:t xml:space="preserve">, </w:t>
            </w:r>
            <w:proofErr w:type="spellStart"/>
            <w:r w:rsidR="00EA6E8D">
              <w:t>Govt</w:t>
            </w:r>
            <w:proofErr w:type="spellEnd"/>
            <w:r w:rsidR="00EA6E8D">
              <w:t xml:space="preserve"> Bonds </w:t>
            </w:r>
          </w:p>
        </w:tc>
        <w:tc>
          <w:tcPr>
            <w:tcW w:w="1849" w:type="dxa"/>
          </w:tcPr>
          <w:p w:rsidR="00023306" w:rsidRDefault="00023306" w:rsidP="00750FB1">
            <w:pPr>
              <w:jc w:val="both"/>
            </w:pPr>
            <w:r>
              <w:t>England/Wales None</w:t>
            </w:r>
          </w:p>
        </w:tc>
        <w:tc>
          <w:tcPr>
            <w:tcW w:w="1849" w:type="dxa"/>
          </w:tcPr>
          <w:p w:rsidR="00023306" w:rsidRDefault="00023306" w:rsidP="00750FB1">
            <w:pPr>
              <w:jc w:val="both"/>
            </w:pPr>
            <w:r>
              <w:t>England and Wales None</w:t>
            </w:r>
          </w:p>
        </w:tc>
      </w:tr>
    </w:tbl>
    <w:p w:rsidR="00023306" w:rsidRDefault="00023306" w:rsidP="00025990">
      <w:pPr>
        <w:jc w:val="both"/>
      </w:pPr>
    </w:p>
    <w:p w:rsidR="00023306" w:rsidRDefault="00023306" w:rsidP="00025990">
      <w:pPr>
        <w:jc w:val="both"/>
      </w:pPr>
    </w:p>
    <w:p w:rsidR="00023306" w:rsidRDefault="00023306" w:rsidP="00025990">
      <w:pPr>
        <w:jc w:val="both"/>
      </w:pPr>
      <w:r>
        <w:t>The County Council will only use derivative contracts to hedge existing risks. This is reflected in the limits below which in future will form a local indicator as part of the Prudential Indicators agreed by the County Council within the annual Treasury Management Strategy. These are shown in the table below, the 100% upper limit means that the County Council has the option to hedge all of</w:t>
      </w:r>
      <w:r w:rsidR="00D84DEF">
        <w:t>,</w:t>
      </w:r>
      <w:r>
        <w:t xml:space="preserve"> </w:t>
      </w:r>
      <w:r w:rsidR="00D84DEF">
        <w:t xml:space="preserve">but not more than, </w:t>
      </w:r>
      <w:r>
        <w:t>its interest rate risk if felt appropriate</w:t>
      </w:r>
      <w:r w:rsidR="00D84DEF">
        <w:t>.</w:t>
      </w:r>
      <w:r>
        <w:t xml:space="preserve">  </w:t>
      </w:r>
    </w:p>
    <w:p w:rsidR="00023306" w:rsidRDefault="00023306" w:rsidP="00025990">
      <w:pPr>
        <w:jc w:val="both"/>
      </w:pPr>
      <w:r>
        <w:t xml:space="preserve"> </w:t>
      </w:r>
    </w:p>
    <w:tbl>
      <w:tblPr>
        <w:tblStyle w:val="TableGrid"/>
        <w:tblW w:w="0" w:type="auto"/>
        <w:tblLook w:val="04A0" w:firstRow="1" w:lastRow="0" w:firstColumn="1" w:lastColumn="0" w:noHBand="0" w:noVBand="1"/>
      </w:tblPr>
      <w:tblGrid>
        <w:gridCol w:w="1820"/>
        <w:gridCol w:w="1742"/>
        <w:gridCol w:w="1742"/>
        <w:gridCol w:w="1815"/>
        <w:gridCol w:w="1897"/>
      </w:tblGrid>
      <w:tr w:rsidR="00D84DEF" w:rsidTr="00BF0506">
        <w:tc>
          <w:tcPr>
            <w:tcW w:w="1820" w:type="dxa"/>
          </w:tcPr>
          <w:p w:rsidR="00D84DEF" w:rsidRDefault="00D84DEF" w:rsidP="00750FB1">
            <w:pPr>
              <w:jc w:val="both"/>
            </w:pPr>
            <w:r>
              <w:t>Exposure Metric</w:t>
            </w:r>
          </w:p>
        </w:tc>
        <w:tc>
          <w:tcPr>
            <w:tcW w:w="1742" w:type="dxa"/>
          </w:tcPr>
          <w:p w:rsidR="00D84DEF" w:rsidRDefault="00D84DEF" w:rsidP="00750FB1">
            <w:pPr>
              <w:jc w:val="both"/>
            </w:pPr>
            <w:r>
              <w:t>Min Hedge</w:t>
            </w:r>
          </w:p>
        </w:tc>
        <w:tc>
          <w:tcPr>
            <w:tcW w:w="1742" w:type="dxa"/>
          </w:tcPr>
          <w:p w:rsidR="00D84DEF" w:rsidRDefault="00D84DEF" w:rsidP="00750FB1">
            <w:pPr>
              <w:jc w:val="both"/>
            </w:pPr>
            <w:r>
              <w:t>Max Hedge</w:t>
            </w:r>
          </w:p>
        </w:tc>
        <w:tc>
          <w:tcPr>
            <w:tcW w:w="1815" w:type="dxa"/>
          </w:tcPr>
          <w:p w:rsidR="00D84DEF" w:rsidRDefault="00D84DEF" w:rsidP="00750FB1">
            <w:pPr>
              <w:jc w:val="both"/>
            </w:pPr>
            <w:r>
              <w:t>Granularity</w:t>
            </w:r>
          </w:p>
        </w:tc>
        <w:tc>
          <w:tcPr>
            <w:tcW w:w="1897" w:type="dxa"/>
          </w:tcPr>
          <w:p w:rsidR="00D84DEF" w:rsidRDefault="00D84DEF" w:rsidP="00750FB1">
            <w:pPr>
              <w:jc w:val="both"/>
            </w:pPr>
            <w:r>
              <w:t>Tool</w:t>
            </w:r>
          </w:p>
        </w:tc>
      </w:tr>
      <w:tr w:rsidR="00D84DEF" w:rsidTr="00BF0506">
        <w:tc>
          <w:tcPr>
            <w:tcW w:w="1820" w:type="dxa"/>
          </w:tcPr>
          <w:p w:rsidR="00D84DEF" w:rsidRDefault="00D84DEF" w:rsidP="00750FB1">
            <w:pPr>
              <w:jc w:val="both"/>
            </w:pPr>
            <w:r>
              <w:t xml:space="preserve">Interest rate </w:t>
            </w:r>
          </w:p>
          <w:p w:rsidR="00D84DEF" w:rsidRDefault="00D84DEF" w:rsidP="00750FB1">
            <w:pPr>
              <w:jc w:val="both"/>
            </w:pPr>
          </w:p>
        </w:tc>
        <w:tc>
          <w:tcPr>
            <w:tcW w:w="1742" w:type="dxa"/>
          </w:tcPr>
          <w:p w:rsidR="00D84DEF" w:rsidRDefault="00D84DEF" w:rsidP="00750FB1">
            <w:pPr>
              <w:jc w:val="both"/>
            </w:pPr>
            <w:r>
              <w:t>0%</w:t>
            </w:r>
          </w:p>
        </w:tc>
        <w:tc>
          <w:tcPr>
            <w:tcW w:w="1742" w:type="dxa"/>
          </w:tcPr>
          <w:p w:rsidR="00D84DEF" w:rsidRDefault="00D84DEF" w:rsidP="00750FB1">
            <w:pPr>
              <w:jc w:val="both"/>
            </w:pPr>
            <w:r>
              <w:t>100%</w:t>
            </w:r>
          </w:p>
        </w:tc>
        <w:tc>
          <w:tcPr>
            <w:tcW w:w="1815" w:type="dxa"/>
          </w:tcPr>
          <w:p w:rsidR="00D84DEF" w:rsidRDefault="00EA6E8D" w:rsidP="00750FB1">
            <w:pPr>
              <w:jc w:val="both"/>
            </w:pPr>
            <w:r>
              <w:t>0-3</w:t>
            </w:r>
            <w:r w:rsidR="0096200E">
              <w:t xml:space="preserve"> months 3-6months, </w:t>
            </w:r>
            <w:r>
              <w:t>6-12m months</w:t>
            </w:r>
            <w:r w:rsidR="0096200E">
              <w:t xml:space="preserve">, </w:t>
            </w:r>
            <w:r w:rsidR="00D759C9">
              <w:t>1 to 2 years, 2-5 years and 5 year blocks</w:t>
            </w:r>
          </w:p>
        </w:tc>
        <w:tc>
          <w:tcPr>
            <w:tcW w:w="1897" w:type="dxa"/>
          </w:tcPr>
          <w:p w:rsidR="00D84DEF" w:rsidRDefault="00D84DEF" w:rsidP="00750FB1">
            <w:pPr>
              <w:jc w:val="both"/>
            </w:pPr>
            <w:r>
              <w:t xml:space="preserve">FRA, Futures, </w:t>
            </w:r>
            <w:proofErr w:type="spellStart"/>
            <w:r>
              <w:t>Options,Swaps</w:t>
            </w:r>
            <w:proofErr w:type="spellEnd"/>
          </w:p>
          <w:p w:rsidR="00D84DEF" w:rsidRDefault="00D84DEF" w:rsidP="00750FB1">
            <w:pPr>
              <w:jc w:val="both"/>
            </w:pPr>
            <w:proofErr w:type="spellStart"/>
            <w:r>
              <w:t>Swaption</w:t>
            </w:r>
            <w:proofErr w:type="spellEnd"/>
          </w:p>
        </w:tc>
      </w:tr>
      <w:tr w:rsidR="00D84DEF" w:rsidTr="00BF0506">
        <w:tc>
          <w:tcPr>
            <w:tcW w:w="1820" w:type="dxa"/>
          </w:tcPr>
          <w:p w:rsidR="00D84DEF" w:rsidRDefault="00D84DEF" w:rsidP="00750FB1">
            <w:pPr>
              <w:jc w:val="both"/>
            </w:pPr>
            <w:r>
              <w:t>Inflation rate</w:t>
            </w:r>
          </w:p>
          <w:p w:rsidR="00D84DEF" w:rsidRDefault="00D84DEF" w:rsidP="00750FB1">
            <w:pPr>
              <w:jc w:val="both"/>
            </w:pPr>
          </w:p>
        </w:tc>
        <w:tc>
          <w:tcPr>
            <w:tcW w:w="1742" w:type="dxa"/>
          </w:tcPr>
          <w:p w:rsidR="00D84DEF" w:rsidRDefault="00D84DEF" w:rsidP="00750FB1">
            <w:pPr>
              <w:jc w:val="both"/>
            </w:pPr>
            <w:r>
              <w:t>0%</w:t>
            </w:r>
          </w:p>
        </w:tc>
        <w:tc>
          <w:tcPr>
            <w:tcW w:w="1742" w:type="dxa"/>
          </w:tcPr>
          <w:p w:rsidR="00D84DEF" w:rsidRDefault="00D84DEF" w:rsidP="00750FB1">
            <w:pPr>
              <w:jc w:val="both"/>
            </w:pPr>
            <w:r>
              <w:t>100%</w:t>
            </w:r>
          </w:p>
        </w:tc>
        <w:tc>
          <w:tcPr>
            <w:tcW w:w="1815" w:type="dxa"/>
          </w:tcPr>
          <w:p w:rsidR="00D84DEF" w:rsidRDefault="00D84DEF" w:rsidP="00750FB1">
            <w:pPr>
              <w:jc w:val="both"/>
            </w:pPr>
            <w:r>
              <w:t>1 block</w:t>
            </w:r>
          </w:p>
        </w:tc>
        <w:tc>
          <w:tcPr>
            <w:tcW w:w="1897" w:type="dxa"/>
          </w:tcPr>
          <w:p w:rsidR="00D84DEF" w:rsidRDefault="00D84DEF" w:rsidP="00750FB1">
            <w:pPr>
              <w:jc w:val="both"/>
            </w:pPr>
            <w:r>
              <w:t xml:space="preserve">Swap, </w:t>
            </w:r>
            <w:proofErr w:type="spellStart"/>
            <w:r>
              <w:t>Swaption</w:t>
            </w:r>
            <w:proofErr w:type="spellEnd"/>
            <w:r>
              <w:t>, Option</w:t>
            </w:r>
          </w:p>
        </w:tc>
      </w:tr>
    </w:tbl>
    <w:p w:rsidR="00AA245E" w:rsidRDefault="00BD7599" w:rsidP="00025990">
      <w:pPr>
        <w:jc w:val="both"/>
      </w:pPr>
      <w:r>
        <w:t xml:space="preserve"> </w:t>
      </w:r>
    </w:p>
    <w:p w:rsidR="00D84DEF" w:rsidRDefault="00D84DEF" w:rsidP="00025990">
      <w:pPr>
        <w:jc w:val="both"/>
      </w:pPr>
      <w:r>
        <w:t>In addition hedge accounting will be used to periodically test the effectiveness of the hedge. It is expected the hedge will work with between 80% and 12</w:t>
      </w:r>
      <w:r w:rsidR="00EA6E8D">
        <w:t>5</w:t>
      </w:r>
      <w:r>
        <w:t>% effectiveness</w:t>
      </w:r>
      <w:r w:rsidR="00EA6E8D">
        <w:t xml:space="preserve"> in accordance with International Accounting Standards.</w:t>
      </w:r>
      <w:r>
        <w:t xml:space="preserve"> If the effectiveness is measured as falling outside these parameters, the structure of the hedge be changed in response.</w:t>
      </w:r>
    </w:p>
    <w:p w:rsidR="00D84DEF" w:rsidRDefault="00D84DEF" w:rsidP="00025990">
      <w:pPr>
        <w:jc w:val="both"/>
      </w:pPr>
    </w:p>
    <w:p w:rsidR="00D84DEF" w:rsidRDefault="00D84DEF" w:rsidP="00025990">
      <w:pPr>
        <w:jc w:val="both"/>
      </w:pPr>
      <w:r>
        <w:t xml:space="preserve">The calculation method of interest rate risk to be hedged and hedge effectiveness will be set out in the Treasury Management Practices document. </w:t>
      </w:r>
    </w:p>
    <w:p w:rsidR="00AA245E" w:rsidRDefault="00AA245E" w:rsidP="00025990">
      <w:pPr>
        <w:jc w:val="both"/>
      </w:pPr>
    </w:p>
    <w:p w:rsidR="00A036BF" w:rsidRPr="002A48EA" w:rsidRDefault="00A036BF" w:rsidP="00025990">
      <w:pPr>
        <w:jc w:val="both"/>
      </w:pPr>
      <w:r w:rsidRPr="002A48EA">
        <w:t xml:space="preserve">At all times the </w:t>
      </w:r>
      <w:r w:rsidR="00F63785">
        <w:t>C</w:t>
      </w:r>
      <w:r w:rsidR="00F25AD0">
        <w:t xml:space="preserve">ounty </w:t>
      </w:r>
      <w:r w:rsidR="00F63785">
        <w:t>C</w:t>
      </w:r>
      <w:r w:rsidR="00F25AD0">
        <w:t>ouncil</w:t>
      </w:r>
      <w:r w:rsidRPr="002A48EA">
        <w:t xml:space="preserve"> will comply with C</w:t>
      </w:r>
      <w:r w:rsidR="00186E6A">
        <w:t>IPFA</w:t>
      </w:r>
      <w:r w:rsidRPr="002A48EA">
        <w:t xml:space="preserve"> advice and guidance on the use of financial derivatives and have regard to</w:t>
      </w:r>
      <w:r w:rsidR="002A48EA" w:rsidRPr="002A48EA">
        <w:t xml:space="preserve"> </w:t>
      </w:r>
      <w:r w:rsidRPr="002A48EA">
        <w:t>C</w:t>
      </w:r>
      <w:r w:rsidR="00186E6A">
        <w:t>IPFA</w:t>
      </w:r>
      <w:r w:rsidRPr="002A48EA">
        <w:t xml:space="preserve"> publication</w:t>
      </w:r>
      <w:r w:rsidR="002A48EA" w:rsidRPr="002A48EA">
        <w:t>s on risk management.</w:t>
      </w:r>
      <w:r w:rsidRPr="002A48EA">
        <w:t xml:space="preserve"> </w:t>
      </w:r>
      <w:r w:rsidR="00A23B82">
        <w:t xml:space="preserve">Part of that advice was that the County Council should seek its own legal advice as to the legality of the use of derivatives for risk management purposes. </w:t>
      </w:r>
    </w:p>
    <w:p w:rsidR="00217C4B" w:rsidRDefault="00217C4B" w:rsidP="00025990">
      <w:pPr>
        <w:rPr>
          <w:highlight w:val="yellow"/>
        </w:rPr>
      </w:pPr>
    </w:p>
    <w:p w:rsidR="00362860" w:rsidRPr="001143BB" w:rsidRDefault="00362860" w:rsidP="00025990">
      <w:pPr>
        <w:rPr>
          <w:highlight w:val="yellow"/>
        </w:rPr>
      </w:pPr>
    </w:p>
    <w:p w:rsidR="00574AC0" w:rsidRPr="006B5382" w:rsidRDefault="00574AC0" w:rsidP="006B5382">
      <w:pPr>
        <w:pStyle w:val="ListParagraph"/>
        <w:numPr>
          <w:ilvl w:val="0"/>
          <w:numId w:val="36"/>
        </w:numPr>
        <w:spacing w:after="240"/>
        <w:rPr>
          <w:sz w:val="28"/>
          <w:szCs w:val="28"/>
        </w:rPr>
      </w:pPr>
      <w:r w:rsidRPr="006B5382">
        <w:rPr>
          <w:b/>
          <w:bCs/>
          <w:sz w:val="28"/>
          <w:szCs w:val="28"/>
        </w:rPr>
        <w:lastRenderedPageBreak/>
        <w:t>Performance</w:t>
      </w:r>
      <w:r w:rsidRPr="006B5382">
        <w:rPr>
          <w:sz w:val="28"/>
          <w:szCs w:val="28"/>
        </w:rPr>
        <w:t xml:space="preserve"> </w:t>
      </w:r>
      <w:r w:rsidRPr="006B5382">
        <w:rPr>
          <w:b/>
          <w:sz w:val="28"/>
          <w:szCs w:val="28"/>
        </w:rPr>
        <w:t>Measurement</w:t>
      </w:r>
    </w:p>
    <w:p w:rsidR="0040630B" w:rsidRPr="00A036BF" w:rsidRDefault="0040630B" w:rsidP="00025990">
      <w:pPr>
        <w:jc w:val="both"/>
      </w:pPr>
      <w:r w:rsidRPr="00A036BF">
        <w:t>With base rates at exceptionally low levels, investment returns are likely to continue to be far lower than has been the case in recent years. However, in the knowledge that a portion of cash invested will not be required in the short term</w:t>
      </w:r>
      <w:r w:rsidR="00FC522C">
        <w:t>;</w:t>
      </w:r>
      <w:r w:rsidRPr="00A036BF">
        <w:t xml:space="preserve"> and to protect against continued low investment rates</w:t>
      </w:r>
      <w:r w:rsidR="00FC522C">
        <w:t>;</w:t>
      </w:r>
      <w:r w:rsidRPr="00A036BF">
        <w:t xml:space="preserve"> investments may be made for longer time periods, depending on cash flow considerations and the prevailing market conditions. </w:t>
      </w:r>
    </w:p>
    <w:p w:rsidR="0040630B" w:rsidRPr="00A036BF" w:rsidRDefault="0040630B" w:rsidP="00025990">
      <w:pPr>
        <w:jc w:val="both"/>
      </w:pPr>
      <w:r w:rsidRPr="00A036BF">
        <w:t>The performance target on investments is a return above the average rate for 7 day notice money</w:t>
      </w:r>
      <w:r w:rsidR="006B61C7" w:rsidRPr="00A036BF">
        <w:t>.</w:t>
      </w:r>
    </w:p>
    <w:p w:rsidR="00D635B5" w:rsidRDefault="00D635B5" w:rsidP="005F7FAC">
      <w:pPr>
        <w:jc w:val="both"/>
        <w:rPr>
          <w:b/>
          <w:sz w:val="28"/>
          <w:szCs w:val="28"/>
        </w:rPr>
      </w:pPr>
    </w:p>
    <w:p w:rsidR="00A1775A" w:rsidRPr="00351C7D" w:rsidRDefault="005B0CCB" w:rsidP="00F861B8">
      <w:pPr>
        <w:pStyle w:val="ListParagraph"/>
        <w:numPr>
          <w:ilvl w:val="0"/>
          <w:numId w:val="36"/>
        </w:numPr>
        <w:jc w:val="both"/>
        <w:rPr>
          <w:b/>
          <w:sz w:val="28"/>
          <w:szCs w:val="28"/>
        </w:rPr>
      </w:pPr>
      <w:r w:rsidRPr="00F861B8">
        <w:rPr>
          <w:b/>
          <w:sz w:val="28"/>
          <w:szCs w:val="28"/>
        </w:rPr>
        <w:t xml:space="preserve"> </w:t>
      </w:r>
      <w:r w:rsidR="006B61C7" w:rsidRPr="00351C7D">
        <w:rPr>
          <w:b/>
          <w:sz w:val="28"/>
          <w:szCs w:val="28"/>
        </w:rPr>
        <w:t xml:space="preserve">Impact on the </w:t>
      </w:r>
      <w:r w:rsidR="00F25AD0" w:rsidRPr="00351C7D">
        <w:rPr>
          <w:b/>
          <w:sz w:val="28"/>
          <w:szCs w:val="28"/>
        </w:rPr>
        <w:t xml:space="preserve">County </w:t>
      </w:r>
      <w:r w:rsidR="00275D6A" w:rsidRPr="00351C7D">
        <w:rPr>
          <w:b/>
          <w:sz w:val="28"/>
          <w:szCs w:val="28"/>
        </w:rPr>
        <w:t>C</w:t>
      </w:r>
      <w:r w:rsidR="00F25AD0" w:rsidRPr="00351C7D">
        <w:rPr>
          <w:b/>
          <w:sz w:val="28"/>
          <w:szCs w:val="28"/>
        </w:rPr>
        <w:t>ouncil</w:t>
      </w:r>
      <w:r w:rsidR="006B61C7" w:rsidRPr="00351C7D">
        <w:rPr>
          <w:b/>
          <w:sz w:val="28"/>
          <w:szCs w:val="28"/>
        </w:rPr>
        <w:t xml:space="preserve">'s </w:t>
      </w:r>
      <w:r w:rsidR="00F92044" w:rsidRPr="00351C7D">
        <w:rPr>
          <w:b/>
          <w:sz w:val="28"/>
          <w:szCs w:val="28"/>
        </w:rPr>
        <w:t>Revenue Budget</w:t>
      </w:r>
      <w:r w:rsidR="00A1775A" w:rsidRPr="00351C7D">
        <w:rPr>
          <w:b/>
          <w:sz w:val="28"/>
          <w:szCs w:val="28"/>
        </w:rPr>
        <w:t xml:space="preserve"> </w:t>
      </w:r>
    </w:p>
    <w:p w:rsidR="00F92044" w:rsidRPr="00351C7D" w:rsidRDefault="00F92044" w:rsidP="005F7FAC">
      <w:pPr>
        <w:jc w:val="both"/>
      </w:pPr>
    </w:p>
    <w:p w:rsidR="00040C37" w:rsidRDefault="00F06120" w:rsidP="00040C37">
      <w:pPr>
        <w:jc w:val="both"/>
      </w:pPr>
      <w:r w:rsidRPr="00351C7D">
        <w:t>The</w:t>
      </w:r>
      <w:r w:rsidR="00275D6A" w:rsidRPr="00351C7D">
        <w:t xml:space="preserve"> table below outlines</w:t>
      </w:r>
      <w:r w:rsidRPr="00351C7D">
        <w:t xml:space="preserve"> </w:t>
      </w:r>
      <w:r w:rsidR="00275D6A" w:rsidRPr="00351C7D">
        <w:t xml:space="preserve">the </w:t>
      </w:r>
      <w:r w:rsidRPr="00351C7D">
        <w:t>budget for</w:t>
      </w:r>
      <w:r w:rsidR="00275D6A" w:rsidRPr="00351C7D">
        <w:t xml:space="preserve"> the </w:t>
      </w:r>
      <w:r w:rsidRPr="00351C7D">
        <w:t>financing charges</w:t>
      </w:r>
      <w:r w:rsidR="00275D6A" w:rsidRPr="00351C7D">
        <w:t xml:space="preserve"> element of the </w:t>
      </w:r>
      <w:r w:rsidR="00481E94" w:rsidRPr="00351C7D">
        <w:t xml:space="preserve">Council's </w:t>
      </w:r>
      <w:r w:rsidR="00275D6A" w:rsidRPr="00351C7D">
        <w:t xml:space="preserve">revenue budget. </w:t>
      </w:r>
      <w:r w:rsidR="003F1495">
        <w:t xml:space="preserve"> This reflect the proposed changes to the Minimum Revenue Provision calculation which has been reflected in the Medium Term Financial Strategy</w:t>
      </w:r>
      <w:r w:rsidR="001E7253">
        <w:t>.,</w:t>
      </w:r>
      <w:r w:rsidR="001170B5" w:rsidRPr="001170B5">
        <w:t xml:space="preserve"> The authority is required by statute to make a prudent charge giving consideration to guidance issued by the Government department. Full Council is required to review and approv</w:t>
      </w:r>
      <w:r w:rsidR="001170B5">
        <w:t xml:space="preserve">e its MRP policy annually. The </w:t>
      </w:r>
      <w:r w:rsidR="001170B5" w:rsidRPr="001170B5">
        <w:t>proposed changes to the policy</w:t>
      </w:r>
      <w:r w:rsidR="001170B5">
        <w:t xml:space="preserve"> are</w:t>
      </w:r>
      <w:r w:rsidR="001170B5" w:rsidRPr="001170B5">
        <w:t xml:space="preserve"> charging debt incurred prior to 2007/8 on a 50 year straight line basis rather than a 4</w:t>
      </w:r>
      <w:r w:rsidR="001170B5">
        <w:t>%</w:t>
      </w:r>
      <w:r w:rsidR="001170B5" w:rsidRPr="001170B5">
        <w:t xml:space="preserve"> reducing balance and the use of an annuity calculation for debt incurred later than this date.</w:t>
      </w:r>
      <w:r w:rsidR="001170B5">
        <w:t xml:space="preserve"> A revised MRP policy is set out in Appendix C.</w:t>
      </w:r>
    </w:p>
    <w:p w:rsidR="00C70130" w:rsidRDefault="00C70130" w:rsidP="00040C37">
      <w:pPr>
        <w:jc w:val="both"/>
      </w:pPr>
    </w:p>
    <w:p w:rsidR="00FB2064" w:rsidRPr="00351C7D" w:rsidRDefault="00FB2064" w:rsidP="00040C37">
      <w:pPr>
        <w:jc w:val="both"/>
      </w:pPr>
    </w:p>
    <w:tbl>
      <w:tblPr>
        <w:tblW w:w="10201" w:type="dxa"/>
        <w:tblLook w:val="04A0" w:firstRow="1" w:lastRow="0" w:firstColumn="1" w:lastColumn="0" w:noHBand="0" w:noVBand="1"/>
      </w:tblPr>
      <w:tblGrid>
        <w:gridCol w:w="2830"/>
        <w:gridCol w:w="1843"/>
        <w:gridCol w:w="1843"/>
        <w:gridCol w:w="1884"/>
        <w:gridCol w:w="1801"/>
      </w:tblGrid>
      <w:tr w:rsidR="000C3158" w:rsidRPr="00351C7D" w:rsidTr="00F861B8">
        <w:trPr>
          <w:trHeight w:val="285"/>
        </w:trPr>
        <w:tc>
          <w:tcPr>
            <w:tcW w:w="2830" w:type="dxa"/>
            <w:tcBorders>
              <w:top w:val="single" w:sz="4" w:space="0" w:color="auto"/>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 </w:t>
            </w:r>
          </w:p>
        </w:tc>
        <w:tc>
          <w:tcPr>
            <w:tcW w:w="1843" w:type="dxa"/>
            <w:tcBorders>
              <w:top w:val="single" w:sz="4" w:space="0" w:color="auto"/>
              <w:left w:val="single" w:sz="4" w:space="0" w:color="auto"/>
              <w:bottom w:val="nil"/>
              <w:right w:val="single" w:sz="4" w:space="0" w:color="auto"/>
            </w:tcBorders>
            <w:shd w:val="clear" w:color="000000" w:fill="FFFFFF"/>
            <w:noWrap/>
            <w:vAlign w:val="bottom"/>
            <w:hideMark/>
          </w:tcPr>
          <w:p w:rsidR="000C3158" w:rsidRPr="00351C7D" w:rsidRDefault="000C3158" w:rsidP="000C3158">
            <w:pPr>
              <w:rPr>
                <w:sz w:val="20"/>
                <w:szCs w:val="20"/>
              </w:rPr>
            </w:pPr>
            <w:r w:rsidRPr="00351C7D">
              <w:rPr>
                <w:sz w:val="20"/>
                <w:szCs w:val="20"/>
              </w:rPr>
              <w:t>Revenue Budget</w:t>
            </w:r>
          </w:p>
        </w:tc>
        <w:tc>
          <w:tcPr>
            <w:tcW w:w="1843" w:type="dxa"/>
            <w:tcBorders>
              <w:top w:val="single" w:sz="4" w:space="0" w:color="auto"/>
              <w:left w:val="nil"/>
              <w:bottom w:val="nil"/>
              <w:right w:val="single" w:sz="4" w:space="0" w:color="auto"/>
            </w:tcBorders>
            <w:shd w:val="clear" w:color="000000" w:fill="FFFFFF"/>
            <w:noWrap/>
            <w:vAlign w:val="bottom"/>
            <w:hideMark/>
          </w:tcPr>
          <w:p w:rsidR="000C3158" w:rsidRPr="00351C7D" w:rsidRDefault="000C3158" w:rsidP="000C3158">
            <w:pPr>
              <w:rPr>
                <w:sz w:val="20"/>
                <w:szCs w:val="20"/>
              </w:rPr>
            </w:pPr>
            <w:r w:rsidRPr="00351C7D">
              <w:rPr>
                <w:sz w:val="20"/>
                <w:szCs w:val="20"/>
              </w:rPr>
              <w:t>Revenue Budget</w:t>
            </w:r>
          </w:p>
        </w:tc>
        <w:tc>
          <w:tcPr>
            <w:tcW w:w="1884" w:type="dxa"/>
            <w:tcBorders>
              <w:top w:val="single" w:sz="4" w:space="0" w:color="auto"/>
              <w:left w:val="nil"/>
              <w:bottom w:val="nil"/>
              <w:right w:val="single" w:sz="4" w:space="0" w:color="auto"/>
            </w:tcBorders>
            <w:shd w:val="clear" w:color="000000" w:fill="FFFFFF"/>
            <w:noWrap/>
            <w:vAlign w:val="bottom"/>
            <w:hideMark/>
          </w:tcPr>
          <w:p w:rsidR="000C3158" w:rsidRPr="00351C7D" w:rsidRDefault="000C3158" w:rsidP="000C3158">
            <w:pPr>
              <w:rPr>
                <w:sz w:val="20"/>
                <w:szCs w:val="20"/>
              </w:rPr>
            </w:pPr>
            <w:r w:rsidRPr="00351C7D">
              <w:rPr>
                <w:sz w:val="20"/>
                <w:szCs w:val="20"/>
              </w:rPr>
              <w:t>Revenue Budget</w:t>
            </w:r>
          </w:p>
        </w:tc>
        <w:tc>
          <w:tcPr>
            <w:tcW w:w="1801" w:type="dxa"/>
            <w:tcBorders>
              <w:top w:val="single" w:sz="4" w:space="0" w:color="auto"/>
              <w:left w:val="nil"/>
              <w:bottom w:val="nil"/>
              <w:right w:val="single" w:sz="4" w:space="0" w:color="auto"/>
            </w:tcBorders>
            <w:shd w:val="clear" w:color="000000" w:fill="FFFFFF"/>
            <w:noWrap/>
            <w:vAlign w:val="bottom"/>
            <w:hideMark/>
          </w:tcPr>
          <w:p w:rsidR="000C3158" w:rsidRPr="00351C7D" w:rsidRDefault="000C3158" w:rsidP="000C3158">
            <w:pPr>
              <w:rPr>
                <w:sz w:val="20"/>
                <w:szCs w:val="20"/>
              </w:rPr>
            </w:pPr>
            <w:r w:rsidRPr="00351C7D">
              <w:rPr>
                <w:sz w:val="20"/>
                <w:szCs w:val="20"/>
              </w:rPr>
              <w:t>Revenue Budget</w:t>
            </w:r>
          </w:p>
        </w:tc>
      </w:tr>
      <w:tr w:rsidR="000C3158" w:rsidRPr="00351C7D" w:rsidTr="00F861B8">
        <w:trPr>
          <w:trHeight w:val="285"/>
        </w:trPr>
        <w:tc>
          <w:tcPr>
            <w:tcW w:w="2830" w:type="dxa"/>
            <w:tcBorders>
              <w:top w:val="nil"/>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single" w:sz="4" w:space="0" w:color="auto"/>
            </w:tcBorders>
            <w:shd w:val="clear" w:color="000000" w:fill="FFFFFF"/>
            <w:noWrap/>
            <w:vAlign w:val="bottom"/>
            <w:hideMark/>
          </w:tcPr>
          <w:p w:rsidR="000C3158" w:rsidRPr="00351C7D" w:rsidRDefault="000C3158" w:rsidP="00351C7D">
            <w:pPr>
              <w:jc w:val="center"/>
              <w:rPr>
                <w:sz w:val="20"/>
                <w:szCs w:val="20"/>
              </w:rPr>
            </w:pPr>
            <w:r w:rsidRPr="00351C7D">
              <w:rPr>
                <w:sz w:val="20"/>
                <w:szCs w:val="20"/>
              </w:rPr>
              <w:t>201</w:t>
            </w:r>
            <w:r w:rsidR="00351C7D">
              <w:rPr>
                <w:sz w:val="20"/>
                <w:szCs w:val="20"/>
              </w:rPr>
              <w:t>5</w:t>
            </w:r>
            <w:r w:rsidRPr="00351C7D">
              <w:rPr>
                <w:sz w:val="20"/>
                <w:szCs w:val="20"/>
              </w:rPr>
              <w:t>/1</w:t>
            </w:r>
            <w:r w:rsidR="00351C7D">
              <w:rPr>
                <w:sz w:val="20"/>
                <w:szCs w:val="20"/>
              </w:rPr>
              <w:t>6</w:t>
            </w:r>
          </w:p>
        </w:tc>
        <w:tc>
          <w:tcPr>
            <w:tcW w:w="1843" w:type="dxa"/>
            <w:tcBorders>
              <w:top w:val="nil"/>
              <w:left w:val="nil"/>
              <w:bottom w:val="nil"/>
              <w:right w:val="single" w:sz="4" w:space="0" w:color="auto"/>
            </w:tcBorders>
            <w:shd w:val="clear" w:color="000000" w:fill="FFFFFF"/>
            <w:noWrap/>
            <w:vAlign w:val="bottom"/>
            <w:hideMark/>
          </w:tcPr>
          <w:p w:rsidR="000C3158" w:rsidRPr="00351C7D" w:rsidRDefault="000C3158" w:rsidP="00351C7D">
            <w:pPr>
              <w:jc w:val="center"/>
              <w:rPr>
                <w:sz w:val="20"/>
                <w:szCs w:val="20"/>
              </w:rPr>
            </w:pPr>
            <w:r w:rsidRPr="00351C7D">
              <w:rPr>
                <w:sz w:val="20"/>
                <w:szCs w:val="20"/>
              </w:rPr>
              <w:t>201</w:t>
            </w:r>
            <w:r w:rsidR="00351C7D">
              <w:rPr>
                <w:sz w:val="20"/>
                <w:szCs w:val="20"/>
              </w:rPr>
              <w:t>6</w:t>
            </w:r>
            <w:r w:rsidRPr="00351C7D">
              <w:rPr>
                <w:sz w:val="20"/>
                <w:szCs w:val="20"/>
              </w:rPr>
              <w:t>/1</w:t>
            </w:r>
            <w:r w:rsidR="00351C7D">
              <w:rPr>
                <w:sz w:val="20"/>
                <w:szCs w:val="20"/>
              </w:rPr>
              <w:t>7</w:t>
            </w:r>
          </w:p>
        </w:tc>
        <w:tc>
          <w:tcPr>
            <w:tcW w:w="1884" w:type="dxa"/>
            <w:tcBorders>
              <w:top w:val="nil"/>
              <w:left w:val="nil"/>
              <w:bottom w:val="nil"/>
              <w:right w:val="single" w:sz="4" w:space="0" w:color="auto"/>
            </w:tcBorders>
            <w:shd w:val="clear" w:color="000000" w:fill="FFFFFF"/>
            <w:noWrap/>
            <w:vAlign w:val="bottom"/>
            <w:hideMark/>
          </w:tcPr>
          <w:p w:rsidR="000C3158" w:rsidRPr="00351C7D" w:rsidRDefault="000C3158" w:rsidP="00351C7D">
            <w:pPr>
              <w:jc w:val="center"/>
              <w:rPr>
                <w:sz w:val="20"/>
                <w:szCs w:val="20"/>
              </w:rPr>
            </w:pPr>
            <w:r w:rsidRPr="00351C7D">
              <w:rPr>
                <w:sz w:val="20"/>
                <w:szCs w:val="20"/>
              </w:rPr>
              <w:t>201</w:t>
            </w:r>
            <w:r w:rsidR="00351C7D">
              <w:rPr>
                <w:sz w:val="20"/>
                <w:szCs w:val="20"/>
              </w:rPr>
              <w:t>7</w:t>
            </w:r>
            <w:r w:rsidRPr="00351C7D">
              <w:rPr>
                <w:sz w:val="20"/>
                <w:szCs w:val="20"/>
              </w:rPr>
              <w:t>/1</w:t>
            </w:r>
            <w:r w:rsidR="00351C7D">
              <w:rPr>
                <w:sz w:val="20"/>
                <w:szCs w:val="20"/>
              </w:rPr>
              <w:t>8</w:t>
            </w:r>
          </w:p>
        </w:tc>
        <w:tc>
          <w:tcPr>
            <w:tcW w:w="1801" w:type="dxa"/>
            <w:tcBorders>
              <w:top w:val="nil"/>
              <w:left w:val="nil"/>
              <w:bottom w:val="nil"/>
              <w:right w:val="single" w:sz="4" w:space="0" w:color="auto"/>
            </w:tcBorders>
            <w:shd w:val="clear" w:color="000000" w:fill="FFFFFF"/>
            <w:noWrap/>
            <w:vAlign w:val="bottom"/>
            <w:hideMark/>
          </w:tcPr>
          <w:p w:rsidR="000C3158" w:rsidRPr="00351C7D" w:rsidRDefault="000C3158" w:rsidP="00351C7D">
            <w:pPr>
              <w:jc w:val="center"/>
              <w:rPr>
                <w:sz w:val="20"/>
                <w:szCs w:val="20"/>
              </w:rPr>
            </w:pPr>
            <w:r w:rsidRPr="00351C7D">
              <w:rPr>
                <w:sz w:val="20"/>
                <w:szCs w:val="20"/>
              </w:rPr>
              <w:t>201</w:t>
            </w:r>
            <w:r w:rsidR="00351C7D">
              <w:rPr>
                <w:sz w:val="20"/>
                <w:szCs w:val="20"/>
              </w:rPr>
              <w:t>8</w:t>
            </w:r>
            <w:r w:rsidRPr="00351C7D">
              <w:rPr>
                <w:sz w:val="20"/>
                <w:szCs w:val="20"/>
              </w:rPr>
              <w:t>/1</w:t>
            </w:r>
            <w:r w:rsidR="00351C7D">
              <w:rPr>
                <w:sz w:val="20"/>
                <w:szCs w:val="20"/>
              </w:rPr>
              <w:t>9</w:t>
            </w:r>
          </w:p>
        </w:tc>
      </w:tr>
      <w:tr w:rsidR="000C3158" w:rsidRPr="00351C7D" w:rsidTr="00F861B8">
        <w:trPr>
          <w:trHeight w:val="285"/>
        </w:trPr>
        <w:tc>
          <w:tcPr>
            <w:tcW w:w="2830" w:type="dxa"/>
            <w:tcBorders>
              <w:top w:val="nil"/>
              <w:left w:val="single" w:sz="4" w:space="0" w:color="auto"/>
              <w:bottom w:val="single" w:sz="4" w:space="0" w:color="auto"/>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0C3158" w:rsidRPr="00351C7D" w:rsidRDefault="000C3158" w:rsidP="000C3158">
            <w:pPr>
              <w:jc w:val="center"/>
              <w:rPr>
                <w:sz w:val="20"/>
                <w:szCs w:val="20"/>
              </w:rPr>
            </w:pPr>
            <w:r w:rsidRPr="00351C7D">
              <w:rPr>
                <w:sz w:val="20"/>
                <w:szCs w:val="20"/>
              </w:rPr>
              <w:t>£m</w:t>
            </w:r>
          </w:p>
        </w:tc>
        <w:tc>
          <w:tcPr>
            <w:tcW w:w="1843" w:type="dxa"/>
            <w:tcBorders>
              <w:top w:val="nil"/>
              <w:left w:val="nil"/>
              <w:bottom w:val="single" w:sz="4" w:space="0" w:color="auto"/>
              <w:right w:val="single" w:sz="4" w:space="0" w:color="auto"/>
            </w:tcBorders>
            <w:shd w:val="clear" w:color="000000" w:fill="FFFFFF"/>
            <w:noWrap/>
            <w:vAlign w:val="bottom"/>
            <w:hideMark/>
          </w:tcPr>
          <w:p w:rsidR="000C3158" w:rsidRPr="00351C7D" w:rsidRDefault="000C3158" w:rsidP="000C3158">
            <w:pPr>
              <w:jc w:val="center"/>
              <w:rPr>
                <w:sz w:val="20"/>
                <w:szCs w:val="20"/>
              </w:rPr>
            </w:pPr>
            <w:r w:rsidRPr="00351C7D">
              <w:rPr>
                <w:sz w:val="20"/>
                <w:szCs w:val="20"/>
              </w:rPr>
              <w:t>£m</w:t>
            </w:r>
          </w:p>
        </w:tc>
        <w:tc>
          <w:tcPr>
            <w:tcW w:w="1884" w:type="dxa"/>
            <w:tcBorders>
              <w:top w:val="nil"/>
              <w:left w:val="nil"/>
              <w:bottom w:val="single" w:sz="4" w:space="0" w:color="auto"/>
              <w:right w:val="single" w:sz="4" w:space="0" w:color="auto"/>
            </w:tcBorders>
            <w:shd w:val="clear" w:color="000000" w:fill="FFFFFF"/>
            <w:noWrap/>
            <w:vAlign w:val="bottom"/>
            <w:hideMark/>
          </w:tcPr>
          <w:p w:rsidR="000C3158" w:rsidRPr="00351C7D" w:rsidRDefault="000C3158" w:rsidP="000C3158">
            <w:pPr>
              <w:jc w:val="center"/>
              <w:rPr>
                <w:sz w:val="20"/>
                <w:szCs w:val="20"/>
              </w:rPr>
            </w:pPr>
            <w:r w:rsidRPr="00351C7D">
              <w:rPr>
                <w:sz w:val="20"/>
                <w:szCs w:val="20"/>
              </w:rPr>
              <w:t>£m</w:t>
            </w:r>
          </w:p>
        </w:tc>
        <w:tc>
          <w:tcPr>
            <w:tcW w:w="1801" w:type="dxa"/>
            <w:tcBorders>
              <w:top w:val="nil"/>
              <w:left w:val="nil"/>
              <w:bottom w:val="single" w:sz="4" w:space="0" w:color="auto"/>
              <w:right w:val="single" w:sz="4" w:space="0" w:color="auto"/>
            </w:tcBorders>
            <w:shd w:val="clear" w:color="000000" w:fill="FFFFFF"/>
            <w:noWrap/>
            <w:vAlign w:val="bottom"/>
            <w:hideMark/>
          </w:tcPr>
          <w:p w:rsidR="000C3158" w:rsidRPr="00351C7D" w:rsidRDefault="000C3158" w:rsidP="000C3158">
            <w:pPr>
              <w:jc w:val="center"/>
              <w:rPr>
                <w:sz w:val="20"/>
                <w:szCs w:val="20"/>
              </w:rPr>
            </w:pPr>
            <w:r w:rsidRPr="00351C7D">
              <w:rPr>
                <w:sz w:val="20"/>
                <w:szCs w:val="20"/>
              </w:rPr>
              <w:t>£m</w:t>
            </w:r>
          </w:p>
        </w:tc>
      </w:tr>
      <w:tr w:rsidR="000C3158" w:rsidRPr="00351C7D" w:rsidTr="00F861B8">
        <w:trPr>
          <w:trHeight w:val="285"/>
        </w:trPr>
        <w:tc>
          <w:tcPr>
            <w:tcW w:w="2830" w:type="dxa"/>
            <w:tcBorders>
              <w:top w:val="nil"/>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single" w:sz="4" w:space="0" w:color="auto"/>
            </w:tcBorders>
            <w:shd w:val="clear" w:color="000000" w:fill="FFFFFF"/>
            <w:noWrap/>
            <w:vAlign w:val="bottom"/>
            <w:hideMark/>
          </w:tcPr>
          <w:p w:rsidR="000C3158" w:rsidRPr="00351C7D" w:rsidRDefault="000C3158" w:rsidP="000C3158">
            <w:pPr>
              <w:jc w:val="center"/>
              <w:rPr>
                <w:sz w:val="20"/>
                <w:szCs w:val="20"/>
              </w:rPr>
            </w:pPr>
            <w:r w:rsidRPr="00351C7D">
              <w:rPr>
                <w:sz w:val="20"/>
                <w:szCs w:val="20"/>
              </w:rPr>
              <w:t> </w:t>
            </w:r>
          </w:p>
        </w:tc>
        <w:tc>
          <w:tcPr>
            <w:tcW w:w="1884" w:type="dxa"/>
            <w:tcBorders>
              <w:top w:val="nil"/>
              <w:left w:val="nil"/>
              <w:bottom w:val="nil"/>
              <w:right w:val="single" w:sz="4" w:space="0" w:color="auto"/>
            </w:tcBorders>
            <w:shd w:val="clear" w:color="000000" w:fill="FFFFFF"/>
            <w:noWrap/>
            <w:vAlign w:val="bottom"/>
            <w:hideMark/>
          </w:tcPr>
          <w:p w:rsidR="000C3158" w:rsidRPr="00351C7D" w:rsidRDefault="000C3158" w:rsidP="000C3158">
            <w:pPr>
              <w:jc w:val="center"/>
              <w:rPr>
                <w:sz w:val="20"/>
                <w:szCs w:val="20"/>
              </w:rPr>
            </w:pPr>
            <w:r w:rsidRPr="00351C7D">
              <w:rPr>
                <w:sz w:val="20"/>
                <w:szCs w:val="20"/>
              </w:rPr>
              <w:t> </w:t>
            </w:r>
          </w:p>
        </w:tc>
        <w:tc>
          <w:tcPr>
            <w:tcW w:w="1801" w:type="dxa"/>
            <w:tcBorders>
              <w:top w:val="nil"/>
              <w:left w:val="nil"/>
              <w:bottom w:val="nil"/>
              <w:right w:val="single" w:sz="4" w:space="0" w:color="auto"/>
            </w:tcBorders>
            <w:shd w:val="clear" w:color="000000" w:fill="FFFFFF"/>
            <w:noWrap/>
            <w:vAlign w:val="bottom"/>
            <w:hideMark/>
          </w:tcPr>
          <w:p w:rsidR="000C3158" w:rsidRPr="00351C7D" w:rsidRDefault="000C3158" w:rsidP="000C3158">
            <w:pPr>
              <w:jc w:val="center"/>
              <w:rPr>
                <w:sz w:val="20"/>
                <w:szCs w:val="20"/>
              </w:rPr>
            </w:pPr>
            <w:r w:rsidRPr="00351C7D">
              <w:rPr>
                <w:sz w:val="20"/>
                <w:szCs w:val="20"/>
              </w:rPr>
              <w:t> </w:t>
            </w:r>
          </w:p>
        </w:tc>
      </w:tr>
      <w:tr w:rsidR="000C3158" w:rsidRPr="00351C7D" w:rsidTr="00E20AE3">
        <w:trPr>
          <w:trHeight w:val="285"/>
        </w:trPr>
        <w:tc>
          <w:tcPr>
            <w:tcW w:w="2830" w:type="dxa"/>
            <w:tcBorders>
              <w:top w:val="nil"/>
              <w:left w:val="single" w:sz="4" w:space="0" w:color="auto"/>
              <w:bottom w:val="nil"/>
              <w:right w:val="nil"/>
            </w:tcBorders>
            <w:shd w:val="clear" w:color="000000" w:fill="FFFFFF"/>
            <w:noWrap/>
            <w:vAlign w:val="bottom"/>
            <w:hideMark/>
          </w:tcPr>
          <w:p w:rsidR="000C3158" w:rsidRPr="00351C7D" w:rsidRDefault="000C3158">
            <w:pPr>
              <w:rPr>
                <w:sz w:val="20"/>
                <w:szCs w:val="20"/>
              </w:rPr>
            </w:pPr>
            <w:r w:rsidRPr="00351C7D">
              <w:rPr>
                <w:sz w:val="20"/>
                <w:szCs w:val="20"/>
              </w:rPr>
              <w:t>Minimum Revenue Provision (MRP)</w:t>
            </w:r>
          </w:p>
        </w:tc>
        <w:tc>
          <w:tcPr>
            <w:tcW w:w="1843" w:type="dxa"/>
            <w:tcBorders>
              <w:top w:val="nil"/>
              <w:left w:val="single" w:sz="4" w:space="0" w:color="auto"/>
              <w:bottom w:val="nil"/>
              <w:right w:val="nil"/>
            </w:tcBorders>
            <w:shd w:val="clear" w:color="000000" w:fill="FFFFFF"/>
            <w:noWrap/>
            <w:vAlign w:val="bottom"/>
            <w:hideMark/>
          </w:tcPr>
          <w:p w:rsidR="000C3158" w:rsidRPr="00351C7D" w:rsidRDefault="00351C7D" w:rsidP="00351C7D">
            <w:pPr>
              <w:jc w:val="center"/>
              <w:rPr>
                <w:sz w:val="20"/>
                <w:szCs w:val="20"/>
              </w:rPr>
            </w:pPr>
            <w:r>
              <w:rPr>
                <w:sz w:val="20"/>
                <w:szCs w:val="20"/>
              </w:rPr>
              <w:t>37.085</w:t>
            </w:r>
          </w:p>
        </w:tc>
        <w:tc>
          <w:tcPr>
            <w:tcW w:w="1843" w:type="dxa"/>
            <w:tcBorders>
              <w:top w:val="nil"/>
              <w:left w:val="single" w:sz="4" w:space="0" w:color="auto"/>
              <w:bottom w:val="nil"/>
              <w:right w:val="single" w:sz="4" w:space="0" w:color="auto"/>
            </w:tcBorders>
            <w:shd w:val="clear" w:color="000000" w:fill="FFFFFF"/>
            <w:noWrap/>
            <w:vAlign w:val="bottom"/>
          </w:tcPr>
          <w:p w:rsidR="000C3158" w:rsidRPr="00351C7D" w:rsidRDefault="00351C7D">
            <w:pPr>
              <w:jc w:val="center"/>
              <w:rPr>
                <w:sz w:val="20"/>
                <w:szCs w:val="20"/>
              </w:rPr>
            </w:pPr>
            <w:r>
              <w:rPr>
                <w:sz w:val="20"/>
                <w:szCs w:val="20"/>
              </w:rPr>
              <w:t>19.967</w:t>
            </w:r>
          </w:p>
        </w:tc>
        <w:tc>
          <w:tcPr>
            <w:tcW w:w="1884" w:type="dxa"/>
            <w:tcBorders>
              <w:top w:val="nil"/>
              <w:left w:val="nil"/>
              <w:bottom w:val="nil"/>
              <w:right w:val="single" w:sz="4" w:space="0" w:color="auto"/>
            </w:tcBorders>
            <w:shd w:val="clear" w:color="000000" w:fill="FFFFFF"/>
            <w:noWrap/>
            <w:vAlign w:val="bottom"/>
          </w:tcPr>
          <w:p w:rsidR="000C3158" w:rsidRPr="00351C7D" w:rsidRDefault="00351C7D">
            <w:pPr>
              <w:jc w:val="center"/>
              <w:rPr>
                <w:sz w:val="20"/>
                <w:szCs w:val="20"/>
              </w:rPr>
            </w:pPr>
            <w:r>
              <w:rPr>
                <w:sz w:val="20"/>
                <w:szCs w:val="20"/>
              </w:rPr>
              <w:t>20.749</w:t>
            </w:r>
          </w:p>
        </w:tc>
        <w:tc>
          <w:tcPr>
            <w:tcW w:w="1801" w:type="dxa"/>
            <w:tcBorders>
              <w:top w:val="nil"/>
              <w:left w:val="nil"/>
              <w:bottom w:val="nil"/>
              <w:right w:val="single" w:sz="4" w:space="0" w:color="auto"/>
            </w:tcBorders>
            <w:shd w:val="clear" w:color="000000" w:fill="FFFFFF"/>
            <w:noWrap/>
            <w:vAlign w:val="bottom"/>
            <w:hideMark/>
          </w:tcPr>
          <w:p w:rsidR="000C3158" w:rsidRPr="00351C7D" w:rsidRDefault="003F1495">
            <w:pPr>
              <w:jc w:val="center"/>
              <w:rPr>
                <w:sz w:val="20"/>
                <w:szCs w:val="20"/>
              </w:rPr>
            </w:pPr>
            <w:r>
              <w:rPr>
                <w:sz w:val="20"/>
                <w:szCs w:val="20"/>
              </w:rPr>
              <w:t>20.877</w:t>
            </w:r>
          </w:p>
        </w:tc>
      </w:tr>
      <w:tr w:rsidR="000C3158" w:rsidRPr="00351C7D" w:rsidTr="00E20AE3">
        <w:trPr>
          <w:trHeight w:val="285"/>
        </w:trPr>
        <w:tc>
          <w:tcPr>
            <w:tcW w:w="2830" w:type="dxa"/>
            <w:tcBorders>
              <w:top w:val="nil"/>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nil"/>
            </w:tcBorders>
            <w:shd w:val="clear" w:color="000000" w:fill="FFFFFF"/>
            <w:noWrap/>
            <w:vAlign w:val="bottom"/>
            <w:hideMark/>
          </w:tcPr>
          <w:p w:rsidR="000C3158" w:rsidRPr="00351C7D" w:rsidRDefault="000C3158" w:rsidP="00F861B8">
            <w:pPr>
              <w:jc w:val="center"/>
              <w:rPr>
                <w:sz w:val="20"/>
                <w:szCs w:val="20"/>
              </w:rPr>
            </w:pPr>
          </w:p>
        </w:tc>
        <w:tc>
          <w:tcPr>
            <w:tcW w:w="1843" w:type="dxa"/>
            <w:tcBorders>
              <w:top w:val="nil"/>
              <w:left w:val="single" w:sz="4" w:space="0" w:color="auto"/>
              <w:bottom w:val="nil"/>
              <w:right w:val="single" w:sz="4" w:space="0" w:color="auto"/>
            </w:tcBorders>
            <w:shd w:val="clear" w:color="000000" w:fill="FFFFFF"/>
            <w:noWrap/>
            <w:vAlign w:val="bottom"/>
          </w:tcPr>
          <w:p w:rsidR="000C3158" w:rsidRPr="00351C7D" w:rsidRDefault="000C3158">
            <w:pPr>
              <w:jc w:val="center"/>
              <w:rPr>
                <w:sz w:val="20"/>
                <w:szCs w:val="20"/>
              </w:rPr>
            </w:pPr>
          </w:p>
        </w:tc>
        <w:tc>
          <w:tcPr>
            <w:tcW w:w="1884" w:type="dxa"/>
            <w:tcBorders>
              <w:top w:val="nil"/>
              <w:left w:val="nil"/>
              <w:bottom w:val="nil"/>
              <w:right w:val="single" w:sz="4" w:space="0" w:color="auto"/>
            </w:tcBorders>
            <w:shd w:val="clear" w:color="000000" w:fill="FFFFFF"/>
            <w:noWrap/>
            <w:vAlign w:val="bottom"/>
          </w:tcPr>
          <w:p w:rsidR="000C3158" w:rsidRPr="00351C7D" w:rsidRDefault="000C3158">
            <w:pPr>
              <w:jc w:val="center"/>
              <w:rPr>
                <w:sz w:val="20"/>
                <w:szCs w:val="20"/>
              </w:rPr>
            </w:pPr>
          </w:p>
        </w:tc>
        <w:tc>
          <w:tcPr>
            <w:tcW w:w="1801" w:type="dxa"/>
            <w:tcBorders>
              <w:top w:val="nil"/>
              <w:left w:val="nil"/>
              <w:bottom w:val="nil"/>
              <w:right w:val="single" w:sz="4" w:space="0" w:color="auto"/>
            </w:tcBorders>
            <w:shd w:val="clear" w:color="000000" w:fill="FFFFFF"/>
            <w:noWrap/>
            <w:vAlign w:val="bottom"/>
            <w:hideMark/>
          </w:tcPr>
          <w:p w:rsidR="000C3158" w:rsidRPr="00351C7D" w:rsidRDefault="000C3158">
            <w:pPr>
              <w:jc w:val="center"/>
              <w:rPr>
                <w:sz w:val="20"/>
                <w:szCs w:val="20"/>
              </w:rPr>
            </w:pPr>
          </w:p>
        </w:tc>
      </w:tr>
      <w:tr w:rsidR="000C3158" w:rsidRPr="00351C7D" w:rsidTr="00E20AE3">
        <w:trPr>
          <w:trHeight w:val="285"/>
        </w:trPr>
        <w:tc>
          <w:tcPr>
            <w:tcW w:w="2830" w:type="dxa"/>
            <w:tcBorders>
              <w:top w:val="nil"/>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Interest Paid</w:t>
            </w:r>
          </w:p>
        </w:tc>
        <w:tc>
          <w:tcPr>
            <w:tcW w:w="1843" w:type="dxa"/>
            <w:tcBorders>
              <w:top w:val="nil"/>
              <w:left w:val="single" w:sz="4" w:space="0" w:color="auto"/>
              <w:bottom w:val="nil"/>
              <w:right w:val="nil"/>
            </w:tcBorders>
            <w:shd w:val="clear" w:color="000000" w:fill="FFFFFF"/>
            <w:noWrap/>
            <w:vAlign w:val="bottom"/>
            <w:hideMark/>
          </w:tcPr>
          <w:p w:rsidR="000C3158" w:rsidRPr="00351C7D" w:rsidRDefault="00351C7D" w:rsidP="00351C7D">
            <w:pPr>
              <w:jc w:val="center"/>
              <w:rPr>
                <w:sz w:val="20"/>
                <w:szCs w:val="20"/>
              </w:rPr>
            </w:pPr>
            <w:r>
              <w:rPr>
                <w:sz w:val="20"/>
                <w:szCs w:val="20"/>
              </w:rPr>
              <w:t>22.308</w:t>
            </w:r>
          </w:p>
        </w:tc>
        <w:tc>
          <w:tcPr>
            <w:tcW w:w="1843" w:type="dxa"/>
            <w:tcBorders>
              <w:top w:val="nil"/>
              <w:left w:val="single" w:sz="4" w:space="0" w:color="auto"/>
              <w:bottom w:val="nil"/>
              <w:right w:val="single" w:sz="4" w:space="0" w:color="auto"/>
            </w:tcBorders>
            <w:shd w:val="clear" w:color="000000" w:fill="FFFFFF"/>
            <w:noWrap/>
            <w:vAlign w:val="bottom"/>
          </w:tcPr>
          <w:p w:rsidR="000C3158" w:rsidRPr="00351C7D" w:rsidRDefault="00351C7D">
            <w:pPr>
              <w:jc w:val="center"/>
              <w:rPr>
                <w:sz w:val="20"/>
                <w:szCs w:val="20"/>
              </w:rPr>
            </w:pPr>
            <w:r>
              <w:rPr>
                <w:sz w:val="20"/>
                <w:szCs w:val="20"/>
              </w:rPr>
              <w:t>24.036</w:t>
            </w:r>
          </w:p>
        </w:tc>
        <w:tc>
          <w:tcPr>
            <w:tcW w:w="1884" w:type="dxa"/>
            <w:tcBorders>
              <w:top w:val="nil"/>
              <w:left w:val="nil"/>
              <w:bottom w:val="nil"/>
              <w:right w:val="single" w:sz="4" w:space="0" w:color="auto"/>
            </w:tcBorders>
            <w:shd w:val="clear" w:color="000000" w:fill="FFFFFF"/>
            <w:noWrap/>
            <w:vAlign w:val="bottom"/>
          </w:tcPr>
          <w:p w:rsidR="000C3158" w:rsidRPr="00351C7D" w:rsidRDefault="00351C7D">
            <w:pPr>
              <w:jc w:val="center"/>
              <w:rPr>
                <w:sz w:val="20"/>
                <w:szCs w:val="20"/>
              </w:rPr>
            </w:pPr>
            <w:r>
              <w:rPr>
                <w:sz w:val="20"/>
                <w:szCs w:val="20"/>
              </w:rPr>
              <w:t>27.883</w:t>
            </w:r>
          </w:p>
        </w:tc>
        <w:tc>
          <w:tcPr>
            <w:tcW w:w="1801" w:type="dxa"/>
            <w:tcBorders>
              <w:top w:val="nil"/>
              <w:left w:val="nil"/>
              <w:bottom w:val="nil"/>
              <w:right w:val="single" w:sz="4" w:space="0" w:color="auto"/>
            </w:tcBorders>
            <w:shd w:val="clear" w:color="000000" w:fill="FFFFFF"/>
            <w:noWrap/>
            <w:vAlign w:val="bottom"/>
            <w:hideMark/>
          </w:tcPr>
          <w:p w:rsidR="000C3158" w:rsidRPr="00351C7D" w:rsidRDefault="003F1495">
            <w:pPr>
              <w:jc w:val="center"/>
              <w:rPr>
                <w:sz w:val="20"/>
                <w:szCs w:val="20"/>
              </w:rPr>
            </w:pPr>
            <w:r>
              <w:rPr>
                <w:sz w:val="20"/>
                <w:szCs w:val="20"/>
              </w:rPr>
              <w:t>29.312</w:t>
            </w:r>
          </w:p>
        </w:tc>
      </w:tr>
      <w:tr w:rsidR="000C3158" w:rsidRPr="00351C7D" w:rsidTr="00E20AE3">
        <w:trPr>
          <w:trHeight w:val="285"/>
        </w:trPr>
        <w:tc>
          <w:tcPr>
            <w:tcW w:w="2830" w:type="dxa"/>
            <w:tcBorders>
              <w:top w:val="nil"/>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nil"/>
            </w:tcBorders>
            <w:shd w:val="clear" w:color="000000" w:fill="FFFFFF"/>
            <w:noWrap/>
            <w:vAlign w:val="bottom"/>
            <w:hideMark/>
          </w:tcPr>
          <w:p w:rsidR="000C3158" w:rsidRPr="00351C7D" w:rsidRDefault="000C3158" w:rsidP="00F861B8">
            <w:pPr>
              <w:jc w:val="center"/>
              <w:rPr>
                <w:sz w:val="20"/>
                <w:szCs w:val="20"/>
              </w:rPr>
            </w:pPr>
          </w:p>
        </w:tc>
        <w:tc>
          <w:tcPr>
            <w:tcW w:w="1843" w:type="dxa"/>
            <w:tcBorders>
              <w:top w:val="nil"/>
              <w:left w:val="single" w:sz="4" w:space="0" w:color="auto"/>
              <w:bottom w:val="nil"/>
              <w:right w:val="single" w:sz="4" w:space="0" w:color="auto"/>
            </w:tcBorders>
            <w:shd w:val="clear" w:color="000000" w:fill="FFFFFF"/>
            <w:noWrap/>
            <w:vAlign w:val="bottom"/>
          </w:tcPr>
          <w:p w:rsidR="000C3158" w:rsidRPr="00351C7D" w:rsidRDefault="000C3158">
            <w:pPr>
              <w:jc w:val="center"/>
              <w:rPr>
                <w:sz w:val="20"/>
                <w:szCs w:val="20"/>
              </w:rPr>
            </w:pPr>
          </w:p>
        </w:tc>
        <w:tc>
          <w:tcPr>
            <w:tcW w:w="1884" w:type="dxa"/>
            <w:tcBorders>
              <w:top w:val="nil"/>
              <w:left w:val="nil"/>
              <w:bottom w:val="nil"/>
              <w:right w:val="single" w:sz="4" w:space="0" w:color="auto"/>
            </w:tcBorders>
            <w:shd w:val="clear" w:color="000000" w:fill="FFFFFF"/>
            <w:noWrap/>
            <w:vAlign w:val="bottom"/>
          </w:tcPr>
          <w:p w:rsidR="000C3158" w:rsidRPr="00351C7D" w:rsidRDefault="000C3158">
            <w:pPr>
              <w:jc w:val="center"/>
              <w:rPr>
                <w:sz w:val="20"/>
                <w:szCs w:val="20"/>
              </w:rPr>
            </w:pPr>
          </w:p>
        </w:tc>
        <w:tc>
          <w:tcPr>
            <w:tcW w:w="1801" w:type="dxa"/>
            <w:tcBorders>
              <w:top w:val="nil"/>
              <w:left w:val="nil"/>
              <w:bottom w:val="nil"/>
              <w:right w:val="single" w:sz="4" w:space="0" w:color="auto"/>
            </w:tcBorders>
            <w:shd w:val="clear" w:color="000000" w:fill="FFFFFF"/>
            <w:noWrap/>
            <w:vAlign w:val="bottom"/>
            <w:hideMark/>
          </w:tcPr>
          <w:p w:rsidR="000C3158" w:rsidRPr="00351C7D" w:rsidRDefault="000C3158">
            <w:pPr>
              <w:jc w:val="center"/>
              <w:rPr>
                <w:sz w:val="20"/>
                <w:szCs w:val="20"/>
              </w:rPr>
            </w:pPr>
          </w:p>
        </w:tc>
      </w:tr>
      <w:tr w:rsidR="000C3158" w:rsidRPr="00351C7D" w:rsidTr="00E20AE3">
        <w:trPr>
          <w:trHeight w:val="285"/>
        </w:trPr>
        <w:tc>
          <w:tcPr>
            <w:tcW w:w="2830" w:type="dxa"/>
            <w:tcBorders>
              <w:top w:val="nil"/>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Interest Earned</w:t>
            </w:r>
          </w:p>
        </w:tc>
        <w:tc>
          <w:tcPr>
            <w:tcW w:w="1843" w:type="dxa"/>
            <w:tcBorders>
              <w:top w:val="nil"/>
              <w:left w:val="single" w:sz="4" w:space="0" w:color="auto"/>
              <w:bottom w:val="nil"/>
              <w:right w:val="nil"/>
            </w:tcBorders>
            <w:shd w:val="clear" w:color="000000" w:fill="FFFFFF"/>
            <w:noWrap/>
            <w:vAlign w:val="bottom"/>
            <w:hideMark/>
          </w:tcPr>
          <w:p w:rsidR="000C3158" w:rsidRPr="00351C7D" w:rsidRDefault="00E20AE3" w:rsidP="00351C7D">
            <w:pPr>
              <w:jc w:val="center"/>
              <w:rPr>
                <w:sz w:val="20"/>
                <w:szCs w:val="20"/>
              </w:rPr>
            </w:pPr>
            <w:r>
              <w:rPr>
                <w:sz w:val="20"/>
                <w:szCs w:val="20"/>
              </w:rPr>
              <w:t>-</w:t>
            </w:r>
            <w:r w:rsidR="00351C7D">
              <w:rPr>
                <w:sz w:val="20"/>
                <w:szCs w:val="20"/>
              </w:rPr>
              <w:t>12.710</w:t>
            </w:r>
          </w:p>
        </w:tc>
        <w:tc>
          <w:tcPr>
            <w:tcW w:w="1843" w:type="dxa"/>
            <w:tcBorders>
              <w:top w:val="nil"/>
              <w:left w:val="single" w:sz="4" w:space="0" w:color="auto"/>
              <w:bottom w:val="nil"/>
              <w:right w:val="single" w:sz="4" w:space="0" w:color="auto"/>
            </w:tcBorders>
            <w:shd w:val="clear" w:color="000000" w:fill="FFFFFF"/>
            <w:noWrap/>
            <w:vAlign w:val="bottom"/>
          </w:tcPr>
          <w:p w:rsidR="000C3158" w:rsidRPr="00351C7D" w:rsidRDefault="00351C7D">
            <w:pPr>
              <w:jc w:val="center"/>
              <w:rPr>
                <w:sz w:val="20"/>
                <w:szCs w:val="20"/>
              </w:rPr>
            </w:pPr>
            <w:r>
              <w:rPr>
                <w:sz w:val="20"/>
                <w:szCs w:val="20"/>
              </w:rPr>
              <w:t>-10.420</w:t>
            </w:r>
          </w:p>
        </w:tc>
        <w:tc>
          <w:tcPr>
            <w:tcW w:w="1884" w:type="dxa"/>
            <w:tcBorders>
              <w:top w:val="nil"/>
              <w:left w:val="nil"/>
              <w:bottom w:val="nil"/>
              <w:right w:val="single" w:sz="4" w:space="0" w:color="auto"/>
            </w:tcBorders>
            <w:shd w:val="clear" w:color="000000" w:fill="FFFFFF"/>
            <w:noWrap/>
            <w:vAlign w:val="bottom"/>
          </w:tcPr>
          <w:p w:rsidR="000C3158" w:rsidRPr="00351C7D" w:rsidRDefault="00351C7D">
            <w:pPr>
              <w:jc w:val="center"/>
              <w:rPr>
                <w:sz w:val="20"/>
                <w:szCs w:val="20"/>
              </w:rPr>
            </w:pPr>
            <w:r>
              <w:rPr>
                <w:sz w:val="20"/>
                <w:szCs w:val="20"/>
              </w:rPr>
              <w:t>-10.524</w:t>
            </w:r>
          </w:p>
        </w:tc>
        <w:tc>
          <w:tcPr>
            <w:tcW w:w="1801" w:type="dxa"/>
            <w:tcBorders>
              <w:top w:val="nil"/>
              <w:left w:val="nil"/>
              <w:bottom w:val="nil"/>
              <w:right w:val="single" w:sz="4" w:space="0" w:color="auto"/>
            </w:tcBorders>
            <w:shd w:val="clear" w:color="000000" w:fill="FFFFFF"/>
            <w:noWrap/>
            <w:vAlign w:val="bottom"/>
          </w:tcPr>
          <w:p w:rsidR="000C3158" w:rsidRPr="00351C7D" w:rsidRDefault="003F1495">
            <w:pPr>
              <w:jc w:val="center"/>
              <w:rPr>
                <w:sz w:val="20"/>
                <w:szCs w:val="20"/>
              </w:rPr>
            </w:pPr>
            <w:r>
              <w:rPr>
                <w:sz w:val="20"/>
                <w:szCs w:val="20"/>
              </w:rPr>
              <w:t>-10.733</w:t>
            </w:r>
          </w:p>
        </w:tc>
      </w:tr>
      <w:tr w:rsidR="000C3158" w:rsidRPr="00351C7D" w:rsidTr="00E20AE3">
        <w:trPr>
          <w:trHeight w:val="285"/>
        </w:trPr>
        <w:tc>
          <w:tcPr>
            <w:tcW w:w="2830" w:type="dxa"/>
            <w:tcBorders>
              <w:top w:val="nil"/>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nil"/>
            </w:tcBorders>
            <w:shd w:val="clear" w:color="000000" w:fill="FFFFFF"/>
            <w:noWrap/>
            <w:vAlign w:val="bottom"/>
            <w:hideMark/>
          </w:tcPr>
          <w:p w:rsidR="000C3158" w:rsidRPr="00351C7D" w:rsidRDefault="000C3158" w:rsidP="00F861B8">
            <w:pPr>
              <w:jc w:val="center"/>
              <w:rPr>
                <w:sz w:val="20"/>
                <w:szCs w:val="20"/>
              </w:rPr>
            </w:pPr>
          </w:p>
        </w:tc>
        <w:tc>
          <w:tcPr>
            <w:tcW w:w="1843" w:type="dxa"/>
            <w:tcBorders>
              <w:top w:val="nil"/>
              <w:left w:val="single" w:sz="4" w:space="0" w:color="auto"/>
              <w:bottom w:val="nil"/>
              <w:right w:val="single" w:sz="4" w:space="0" w:color="auto"/>
            </w:tcBorders>
            <w:shd w:val="clear" w:color="000000" w:fill="FFFFFF"/>
            <w:noWrap/>
            <w:vAlign w:val="bottom"/>
          </w:tcPr>
          <w:p w:rsidR="000C3158" w:rsidRPr="00351C7D" w:rsidRDefault="000C3158">
            <w:pPr>
              <w:jc w:val="center"/>
              <w:rPr>
                <w:sz w:val="20"/>
                <w:szCs w:val="20"/>
              </w:rPr>
            </w:pPr>
          </w:p>
        </w:tc>
        <w:tc>
          <w:tcPr>
            <w:tcW w:w="1884" w:type="dxa"/>
            <w:tcBorders>
              <w:top w:val="nil"/>
              <w:left w:val="nil"/>
              <w:bottom w:val="nil"/>
              <w:right w:val="single" w:sz="4" w:space="0" w:color="auto"/>
            </w:tcBorders>
            <w:shd w:val="clear" w:color="000000" w:fill="FFFFFF"/>
            <w:noWrap/>
            <w:vAlign w:val="bottom"/>
            <w:hideMark/>
          </w:tcPr>
          <w:p w:rsidR="000C3158" w:rsidRPr="00351C7D" w:rsidRDefault="000C3158">
            <w:pPr>
              <w:jc w:val="center"/>
              <w:rPr>
                <w:sz w:val="20"/>
                <w:szCs w:val="20"/>
              </w:rPr>
            </w:pPr>
          </w:p>
        </w:tc>
        <w:tc>
          <w:tcPr>
            <w:tcW w:w="1801" w:type="dxa"/>
            <w:tcBorders>
              <w:top w:val="nil"/>
              <w:left w:val="nil"/>
              <w:bottom w:val="nil"/>
              <w:right w:val="single" w:sz="4" w:space="0" w:color="auto"/>
            </w:tcBorders>
            <w:shd w:val="clear" w:color="000000" w:fill="FFFFFF"/>
            <w:noWrap/>
            <w:vAlign w:val="bottom"/>
            <w:hideMark/>
          </w:tcPr>
          <w:p w:rsidR="000C3158" w:rsidRPr="00351C7D" w:rsidRDefault="000C3158">
            <w:pPr>
              <w:jc w:val="center"/>
              <w:rPr>
                <w:sz w:val="20"/>
                <w:szCs w:val="20"/>
              </w:rPr>
            </w:pPr>
          </w:p>
        </w:tc>
      </w:tr>
      <w:tr w:rsidR="000C3158" w:rsidRPr="00351C7D" w:rsidTr="00F861B8">
        <w:trPr>
          <w:trHeight w:val="285"/>
        </w:trPr>
        <w:tc>
          <w:tcPr>
            <w:tcW w:w="2830" w:type="dxa"/>
            <w:tcBorders>
              <w:top w:val="nil"/>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Grants Received</w:t>
            </w:r>
          </w:p>
        </w:tc>
        <w:tc>
          <w:tcPr>
            <w:tcW w:w="1843" w:type="dxa"/>
            <w:tcBorders>
              <w:top w:val="nil"/>
              <w:left w:val="single" w:sz="4" w:space="0" w:color="auto"/>
              <w:bottom w:val="nil"/>
              <w:right w:val="nil"/>
            </w:tcBorders>
            <w:shd w:val="clear" w:color="000000" w:fill="FFFFFF"/>
            <w:noWrap/>
            <w:vAlign w:val="bottom"/>
            <w:hideMark/>
          </w:tcPr>
          <w:p w:rsidR="000C3158" w:rsidRPr="00351C7D" w:rsidRDefault="000C3158" w:rsidP="00351C7D">
            <w:pPr>
              <w:jc w:val="center"/>
              <w:rPr>
                <w:sz w:val="20"/>
                <w:szCs w:val="20"/>
              </w:rPr>
            </w:pPr>
            <w:r w:rsidRPr="00351C7D">
              <w:rPr>
                <w:sz w:val="20"/>
                <w:szCs w:val="20"/>
              </w:rPr>
              <w:t>-0.</w:t>
            </w:r>
            <w:r w:rsidR="00351C7D">
              <w:rPr>
                <w:sz w:val="20"/>
                <w:szCs w:val="20"/>
              </w:rPr>
              <w:t>280</w:t>
            </w:r>
          </w:p>
        </w:tc>
        <w:tc>
          <w:tcPr>
            <w:tcW w:w="1843" w:type="dxa"/>
            <w:tcBorders>
              <w:top w:val="nil"/>
              <w:left w:val="single" w:sz="4" w:space="0" w:color="auto"/>
              <w:bottom w:val="nil"/>
              <w:right w:val="single" w:sz="4" w:space="0" w:color="auto"/>
            </w:tcBorders>
            <w:shd w:val="clear" w:color="000000" w:fill="FFFFFF"/>
            <w:noWrap/>
            <w:vAlign w:val="bottom"/>
            <w:hideMark/>
          </w:tcPr>
          <w:p w:rsidR="000C3158" w:rsidRPr="00351C7D" w:rsidRDefault="000C3158" w:rsidP="00351C7D">
            <w:pPr>
              <w:jc w:val="center"/>
              <w:rPr>
                <w:sz w:val="20"/>
                <w:szCs w:val="20"/>
              </w:rPr>
            </w:pPr>
            <w:r w:rsidRPr="00351C7D">
              <w:rPr>
                <w:sz w:val="20"/>
                <w:szCs w:val="20"/>
              </w:rPr>
              <w:t>-0.</w:t>
            </w:r>
            <w:r w:rsidR="00351C7D" w:rsidRPr="00351C7D">
              <w:rPr>
                <w:sz w:val="20"/>
                <w:szCs w:val="20"/>
              </w:rPr>
              <w:t>2</w:t>
            </w:r>
            <w:r w:rsidR="00351C7D">
              <w:rPr>
                <w:sz w:val="20"/>
                <w:szCs w:val="20"/>
              </w:rPr>
              <w:t>60</w:t>
            </w:r>
          </w:p>
        </w:tc>
        <w:tc>
          <w:tcPr>
            <w:tcW w:w="1884" w:type="dxa"/>
            <w:tcBorders>
              <w:top w:val="nil"/>
              <w:left w:val="nil"/>
              <w:bottom w:val="nil"/>
              <w:right w:val="single" w:sz="4" w:space="0" w:color="auto"/>
            </w:tcBorders>
            <w:shd w:val="clear" w:color="000000" w:fill="FFFFFF"/>
            <w:noWrap/>
            <w:vAlign w:val="bottom"/>
            <w:hideMark/>
          </w:tcPr>
          <w:p w:rsidR="000C3158" w:rsidRPr="00351C7D" w:rsidRDefault="000C3158" w:rsidP="00351C7D">
            <w:pPr>
              <w:jc w:val="center"/>
              <w:rPr>
                <w:sz w:val="20"/>
                <w:szCs w:val="20"/>
              </w:rPr>
            </w:pPr>
            <w:r w:rsidRPr="00351C7D">
              <w:rPr>
                <w:sz w:val="20"/>
                <w:szCs w:val="20"/>
              </w:rPr>
              <w:t>-0.</w:t>
            </w:r>
            <w:r w:rsidR="00351C7D" w:rsidRPr="00351C7D">
              <w:rPr>
                <w:sz w:val="20"/>
                <w:szCs w:val="20"/>
              </w:rPr>
              <w:t>2</w:t>
            </w:r>
            <w:r w:rsidR="00351C7D">
              <w:rPr>
                <w:sz w:val="20"/>
                <w:szCs w:val="20"/>
              </w:rPr>
              <w:t>40</w:t>
            </w:r>
          </w:p>
        </w:tc>
        <w:tc>
          <w:tcPr>
            <w:tcW w:w="1801" w:type="dxa"/>
            <w:tcBorders>
              <w:top w:val="nil"/>
              <w:left w:val="nil"/>
              <w:bottom w:val="nil"/>
              <w:right w:val="single" w:sz="4" w:space="0" w:color="auto"/>
            </w:tcBorders>
            <w:shd w:val="clear" w:color="000000" w:fill="FFFFFF"/>
            <w:noWrap/>
            <w:vAlign w:val="bottom"/>
            <w:hideMark/>
          </w:tcPr>
          <w:p w:rsidR="000C3158" w:rsidRPr="00351C7D" w:rsidRDefault="000C3158" w:rsidP="00E20AE3">
            <w:pPr>
              <w:jc w:val="center"/>
              <w:rPr>
                <w:sz w:val="20"/>
                <w:szCs w:val="20"/>
              </w:rPr>
            </w:pPr>
            <w:r w:rsidRPr="00351C7D">
              <w:rPr>
                <w:sz w:val="20"/>
                <w:szCs w:val="20"/>
              </w:rPr>
              <w:t>-0.</w:t>
            </w:r>
            <w:r w:rsidR="00E20AE3" w:rsidRPr="00351C7D">
              <w:rPr>
                <w:sz w:val="20"/>
                <w:szCs w:val="20"/>
              </w:rPr>
              <w:t>2</w:t>
            </w:r>
            <w:r w:rsidR="00E20AE3">
              <w:rPr>
                <w:sz w:val="20"/>
                <w:szCs w:val="20"/>
              </w:rPr>
              <w:t>40</w:t>
            </w:r>
          </w:p>
        </w:tc>
      </w:tr>
      <w:tr w:rsidR="000C3158" w:rsidRPr="00351C7D" w:rsidTr="00F861B8">
        <w:trPr>
          <w:trHeight w:val="285"/>
        </w:trPr>
        <w:tc>
          <w:tcPr>
            <w:tcW w:w="2830" w:type="dxa"/>
            <w:tcBorders>
              <w:top w:val="nil"/>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nil"/>
            </w:tcBorders>
            <w:shd w:val="clear" w:color="000000" w:fill="FFFFFF"/>
            <w:noWrap/>
            <w:vAlign w:val="bottom"/>
            <w:hideMark/>
          </w:tcPr>
          <w:p w:rsidR="000C3158" w:rsidRPr="00351C7D" w:rsidRDefault="000C3158" w:rsidP="00F861B8">
            <w:pPr>
              <w:jc w:val="center"/>
              <w:rPr>
                <w:sz w:val="20"/>
                <w:szCs w:val="20"/>
              </w:rPr>
            </w:pPr>
          </w:p>
        </w:tc>
        <w:tc>
          <w:tcPr>
            <w:tcW w:w="1843" w:type="dxa"/>
            <w:tcBorders>
              <w:top w:val="nil"/>
              <w:left w:val="single" w:sz="4" w:space="0" w:color="auto"/>
              <w:bottom w:val="nil"/>
              <w:right w:val="single" w:sz="4" w:space="0" w:color="auto"/>
            </w:tcBorders>
            <w:shd w:val="clear" w:color="000000" w:fill="FFFFFF"/>
            <w:noWrap/>
            <w:vAlign w:val="bottom"/>
            <w:hideMark/>
          </w:tcPr>
          <w:p w:rsidR="000C3158" w:rsidRPr="00351C7D" w:rsidRDefault="000C3158">
            <w:pPr>
              <w:jc w:val="center"/>
              <w:rPr>
                <w:sz w:val="20"/>
                <w:szCs w:val="20"/>
              </w:rPr>
            </w:pPr>
          </w:p>
        </w:tc>
        <w:tc>
          <w:tcPr>
            <w:tcW w:w="1884" w:type="dxa"/>
            <w:tcBorders>
              <w:top w:val="nil"/>
              <w:left w:val="nil"/>
              <w:bottom w:val="nil"/>
              <w:right w:val="single" w:sz="4" w:space="0" w:color="auto"/>
            </w:tcBorders>
            <w:shd w:val="clear" w:color="000000" w:fill="FFFFFF"/>
            <w:noWrap/>
            <w:vAlign w:val="bottom"/>
            <w:hideMark/>
          </w:tcPr>
          <w:p w:rsidR="000C3158" w:rsidRPr="00351C7D" w:rsidRDefault="000C3158">
            <w:pPr>
              <w:jc w:val="center"/>
              <w:rPr>
                <w:sz w:val="20"/>
                <w:szCs w:val="20"/>
              </w:rPr>
            </w:pPr>
          </w:p>
        </w:tc>
        <w:tc>
          <w:tcPr>
            <w:tcW w:w="1801" w:type="dxa"/>
            <w:tcBorders>
              <w:top w:val="nil"/>
              <w:left w:val="nil"/>
              <w:bottom w:val="nil"/>
              <w:right w:val="single" w:sz="4" w:space="0" w:color="auto"/>
            </w:tcBorders>
            <w:shd w:val="clear" w:color="000000" w:fill="FFFFFF"/>
            <w:noWrap/>
            <w:vAlign w:val="bottom"/>
            <w:hideMark/>
          </w:tcPr>
          <w:p w:rsidR="000C3158" w:rsidRPr="00351C7D" w:rsidRDefault="000C3158">
            <w:pPr>
              <w:jc w:val="center"/>
              <w:rPr>
                <w:sz w:val="20"/>
                <w:szCs w:val="20"/>
              </w:rPr>
            </w:pPr>
          </w:p>
        </w:tc>
      </w:tr>
      <w:tr w:rsidR="000C3158" w:rsidRPr="00351C7D" w:rsidTr="00E20AE3">
        <w:trPr>
          <w:trHeight w:val="285"/>
        </w:trPr>
        <w:tc>
          <w:tcPr>
            <w:tcW w:w="2830" w:type="dxa"/>
            <w:tcBorders>
              <w:top w:val="single" w:sz="4" w:space="0" w:color="auto"/>
              <w:left w:val="single" w:sz="4" w:space="0" w:color="auto"/>
              <w:bottom w:val="single" w:sz="4" w:space="0" w:color="auto"/>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Total</w:t>
            </w:r>
          </w:p>
        </w:tc>
        <w:tc>
          <w:tcPr>
            <w:tcW w:w="1843" w:type="dxa"/>
            <w:tcBorders>
              <w:top w:val="single" w:sz="4" w:space="0" w:color="auto"/>
              <w:left w:val="single" w:sz="4" w:space="0" w:color="auto"/>
              <w:bottom w:val="single" w:sz="4" w:space="0" w:color="auto"/>
              <w:right w:val="nil"/>
            </w:tcBorders>
            <w:shd w:val="clear" w:color="000000" w:fill="FFFFFF"/>
            <w:noWrap/>
            <w:vAlign w:val="bottom"/>
            <w:hideMark/>
          </w:tcPr>
          <w:p w:rsidR="000C3158" w:rsidRPr="00351C7D" w:rsidRDefault="00351C7D" w:rsidP="00F861B8">
            <w:pPr>
              <w:jc w:val="center"/>
              <w:rPr>
                <w:sz w:val="20"/>
                <w:szCs w:val="20"/>
              </w:rPr>
            </w:pPr>
            <w:r>
              <w:rPr>
                <w:sz w:val="20"/>
                <w:szCs w:val="20"/>
              </w:rPr>
              <w:t>46.403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C3158" w:rsidRPr="00351C7D" w:rsidRDefault="00351C7D">
            <w:pPr>
              <w:jc w:val="center"/>
              <w:rPr>
                <w:sz w:val="20"/>
                <w:szCs w:val="20"/>
              </w:rPr>
            </w:pPr>
            <w:r>
              <w:rPr>
                <w:sz w:val="20"/>
                <w:szCs w:val="20"/>
              </w:rPr>
              <w:t>33.323</w:t>
            </w:r>
          </w:p>
        </w:tc>
        <w:tc>
          <w:tcPr>
            <w:tcW w:w="1884" w:type="dxa"/>
            <w:tcBorders>
              <w:top w:val="single" w:sz="4" w:space="0" w:color="auto"/>
              <w:left w:val="nil"/>
              <w:bottom w:val="single" w:sz="4" w:space="0" w:color="auto"/>
              <w:right w:val="single" w:sz="4" w:space="0" w:color="auto"/>
            </w:tcBorders>
            <w:shd w:val="clear" w:color="000000" w:fill="FFFFFF"/>
            <w:noWrap/>
            <w:vAlign w:val="bottom"/>
          </w:tcPr>
          <w:p w:rsidR="000C3158" w:rsidRPr="00351C7D" w:rsidRDefault="00351C7D">
            <w:pPr>
              <w:jc w:val="center"/>
              <w:rPr>
                <w:sz w:val="20"/>
                <w:szCs w:val="20"/>
              </w:rPr>
            </w:pPr>
            <w:r>
              <w:rPr>
                <w:sz w:val="20"/>
                <w:szCs w:val="20"/>
              </w:rPr>
              <w:t>37.868</w:t>
            </w:r>
          </w:p>
        </w:tc>
        <w:tc>
          <w:tcPr>
            <w:tcW w:w="1801" w:type="dxa"/>
            <w:tcBorders>
              <w:top w:val="single" w:sz="4" w:space="0" w:color="auto"/>
              <w:left w:val="nil"/>
              <w:bottom w:val="single" w:sz="4" w:space="0" w:color="auto"/>
              <w:right w:val="single" w:sz="4" w:space="0" w:color="auto"/>
            </w:tcBorders>
            <w:shd w:val="clear" w:color="000000" w:fill="FFFFFF"/>
            <w:noWrap/>
            <w:vAlign w:val="bottom"/>
          </w:tcPr>
          <w:p w:rsidR="000C3158" w:rsidRPr="00351C7D" w:rsidRDefault="003F1495">
            <w:pPr>
              <w:jc w:val="center"/>
              <w:rPr>
                <w:sz w:val="20"/>
                <w:szCs w:val="20"/>
              </w:rPr>
            </w:pPr>
            <w:r>
              <w:rPr>
                <w:sz w:val="20"/>
                <w:szCs w:val="20"/>
              </w:rPr>
              <w:t>39.216</w:t>
            </w:r>
          </w:p>
        </w:tc>
      </w:tr>
    </w:tbl>
    <w:p w:rsidR="00AA5691" w:rsidRPr="00351C7D" w:rsidRDefault="00AA5691" w:rsidP="005F7FAC">
      <w:pPr>
        <w:jc w:val="both"/>
      </w:pPr>
    </w:p>
    <w:p w:rsidR="00616792" w:rsidRPr="00351C7D" w:rsidRDefault="00616792" w:rsidP="005F7FAC">
      <w:pPr>
        <w:jc w:val="both"/>
      </w:pPr>
    </w:p>
    <w:p w:rsidR="00275D6A" w:rsidRPr="00351C7D" w:rsidRDefault="00275D6A" w:rsidP="005F7FAC">
      <w:pPr>
        <w:jc w:val="both"/>
      </w:pPr>
      <w:r w:rsidRPr="00351C7D">
        <w:t xml:space="preserve">The revenue budget above reflects a position </w:t>
      </w:r>
      <w:r w:rsidR="005D759F" w:rsidRPr="00351C7D">
        <w:t xml:space="preserve">which takes </w:t>
      </w:r>
      <w:r w:rsidR="00481E94" w:rsidRPr="00351C7D">
        <w:t xml:space="preserve">account of the </w:t>
      </w:r>
      <w:r w:rsidR="005D759F" w:rsidRPr="00351C7D">
        <w:t>view</w:t>
      </w:r>
      <w:r w:rsidR="00481E94" w:rsidRPr="00351C7D">
        <w:t>s</w:t>
      </w:r>
      <w:r w:rsidR="005D759F" w:rsidRPr="00351C7D">
        <w:t xml:space="preserve"> of both</w:t>
      </w:r>
      <w:r w:rsidRPr="00351C7D">
        <w:t xml:space="preserve"> internal and external advisors</w:t>
      </w:r>
      <w:r w:rsidR="00481E94" w:rsidRPr="00351C7D">
        <w:t>, particularly in relation to interest rate movements and the potential timing to move from short term variable rates to fixed rates.</w:t>
      </w:r>
    </w:p>
    <w:p w:rsidR="007E144B" w:rsidRPr="00351C7D" w:rsidRDefault="007E144B" w:rsidP="005F7FAC">
      <w:pPr>
        <w:jc w:val="both"/>
      </w:pPr>
    </w:p>
    <w:p w:rsidR="00E21386" w:rsidRDefault="0078085E" w:rsidP="005F7FAC">
      <w:pPr>
        <w:jc w:val="both"/>
      </w:pPr>
      <w:r w:rsidRPr="00351C7D">
        <w:t xml:space="preserve">The position will be closely </w:t>
      </w:r>
      <w:r w:rsidR="00CB6A04" w:rsidRPr="00351C7D">
        <w:t>monitored by the S151 officer and any changes to the external view will be reflect in a revised Finance Charges forecast and taken to Cabinet.</w:t>
      </w:r>
    </w:p>
    <w:p w:rsidR="00383F1D" w:rsidRDefault="00383F1D" w:rsidP="005F7FAC">
      <w:pPr>
        <w:jc w:val="both"/>
      </w:pPr>
    </w:p>
    <w:p w:rsidR="00D922C9" w:rsidRDefault="00D922C9" w:rsidP="00F861B8">
      <w:pPr>
        <w:spacing w:after="240"/>
        <w:jc w:val="both"/>
        <w:rPr>
          <w:b/>
          <w:bCs/>
        </w:rPr>
      </w:pPr>
    </w:p>
    <w:p w:rsidR="00362860" w:rsidRDefault="00362860" w:rsidP="00F861B8">
      <w:pPr>
        <w:spacing w:after="240"/>
        <w:jc w:val="both"/>
        <w:rPr>
          <w:b/>
          <w:bCs/>
        </w:rPr>
      </w:pPr>
    </w:p>
    <w:p w:rsidR="00A26740" w:rsidRPr="002A48EA" w:rsidRDefault="00A26740" w:rsidP="00F861B8">
      <w:pPr>
        <w:spacing w:after="240"/>
        <w:jc w:val="both"/>
        <w:rPr>
          <w:b/>
          <w:bCs/>
        </w:rPr>
      </w:pPr>
      <w:r w:rsidRPr="002A48EA">
        <w:rPr>
          <w:b/>
          <w:bCs/>
        </w:rPr>
        <w:lastRenderedPageBreak/>
        <w:t>Annex A</w:t>
      </w:r>
    </w:p>
    <w:p w:rsidR="004F3510" w:rsidRPr="002A48EA" w:rsidRDefault="004F3510" w:rsidP="004F3510">
      <w:pPr>
        <w:rPr>
          <w:b/>
        </w:rPr>
      </w:pPr>
      <w:r w:rsidRPr="002A48EA">
        <w:rPr>
          <w:b/>
        </w:rPr>
        <w:t>PRUDENTIAL INDICATORS</w:t>
      </w:r>
    </w:p>
    <w:p w:rsidR="004F3510" w:rsidRPr="002A48EA" w:rsidRDefault="004F3510" w:rsidP="004F3510"/>
    <w:p w:rsidR="00A26740" w:rsidRPr="002A48EA" w:rsidRDefault="007E527B" w:rsidP="00A26740">
      <w:pPr>
        <w:spacing w:after="240"/>
        <w:jc w:val="both"/>
      </w:pPr>
      <w:r w:rsidRPr="002A48EA">
        <w:t xml:space="preserve">In line with the relevant legislation the </w:t>
      </w:r>
      <w:r w:rsidR="00043461">
        <w:t>c</w:t>
      </w:r>
      <w:r w:rsidR="00F25AD0">
        <w:t>ounty council</w:t>
      </w:r>
      <w:r w:rsidRPr="002A48EA">
        <w:t xml:space="preserve"> has adopted the Prudential Code for Capital Finance in Local Authorities and the CIPFA Treasury Management in the Public Services Code of Practice as setting the framework of principles for its Treasury Management activities. </w:t>
      </w:r>
      <w:r w:rsidR="00A26740" w:rsidRPr="002A48EA">
        <w:t>In accordance with the requirements of the</w:t>
      </w:r>
      <w:r w:rsidRPr="002A48EA">
        <w:t xml:space="preserve">se codes </w:t>
      </w:r>
      <w:r w:rsidR="00A26740" w:rsidRPr="002A48EA">
        <w:t xml:space="preserve">the </w:t>
      </w:r>
      <w:r w:rsidR="00F25AD0">
        <w:t>County council</w:t>
      </w:r>
      <w:r w:rsidR="00A26740" w:rsidRPr="002A48EA">
        <w:t xml:space="preserve"> produces each year a set of prudential indicators which assist in the process of monitoring the degree of prudence with which the </w:t>
      </w:r>
      <w:r w:rsidR="00043461">
        <w:t>county c</w:t>
      </w:r>
      <w:r w:rsidR="00A26740" w:rsidRPr="002A48EA">
        <w:t xml:space="preserve">ouncil undertakes its </w:t>
      </w:r>
      <w:r w:rsidR="004F3510" w:rsidRPr="002A48EA">
        <w:t xml:space="preserve">Capital Expenditure and </w:t>
      </w:r>
      <w:r w:rsidR="00A26740" w:rsidRPr="002A48EA">
        <w:t>Treasury Management activities. Certain of these indicators also provide specific limits with regard to certain types of activity such as borrowing.</w:t>
      </w:r>
      <w:r w:rsidR="00E13CB0" w:rsidRPr="002A48EA">
        <w:t xml:space="preserve"> These indicators are a consequence of the borrowing requirements and actions set out within the body of </w:t>
      </w:r>
      <w:r w:rsidR="004F3510" w:rsidRPr="002A48EA">
        <w:t xml:space="preserve">the </w:t>
      </w:r>
      <w:r w:rsidR="00E13CB0" w:rsidRPr="002A48EA">
        <w:t>Treasury Management Strategy.</w:t>
      </w:r>
    </w:p>
    <w:p w:rsidR="00AE032B" w:rsidRPr="002A48EA" w:rsidRDefault="00AE032B" w:rsidP="00A26740">
      <w:pPr>
        <w:spacing w:after="240"/>
        <w:jc w:val="both"/>
        <w:rPr>
          <w:b/>
        </w:rPr>
      </w:pPr>
      <w:r w:rsidRPr="002A48EA">
        <w:rPr>
          <w:b/>
        </w:rPr>
        <w:t>Adoption of CIPFA Treasury Management Code of Practice (2011)</w:t>
      </w:r>
    </w:p>
    <w:tbl>
      <w:tblPr>
        <w:tblW w:w="0" w:type="auto"/>
        <w:jc w:val="center"/>
        <w:tblLayout w:type="fixed"/>
        <w:tblLook w:val="0000" w:firstRow="0" w:lastRow="0" w:firstColumn="0" w:lastColumn="0" w:noHBand="0" w:noVBand="0"/>
      </w:tblPr>
      <w:tblGrid>
        <w:gridCol w:w="1822"/>
        <w:gridCol w:w="1821"/>
        <w:gridCol w:w="1822"/>
        <w:gridCol w:w="1822"/>
      </w:tblGrid>
      <w:tr w:rsidR="00AE032B" w:rsidRPr="002A48EA" w:rsidTr="00AE032B">
        <w:trPr>
          <w:jc w:val="center"/>
        </w:trPr>
        <w:tc>
          <w:tcPr>
            <w:tcW w:w="1822" w:type="dxa"/>
          </w:tcPr>
          <w:p w:rsidR="00AE032B" w:rsidRPr="002A48EA" w:rsidRDefault="00AE032B">
            <w:pPr>
              <w:ind w:right="-662"/>
              <w:jc w:val="center"/>
              <w:rPr>
                <w:b/>
              </w:rPr>
            </w:pPr>
            <w:r w:rsidRPr="002A48EA">
              <w:rPr>
                <w:b/>
                <w:caps/>
              </w:rPr>
              <w:t xml:space="preserve">  201</w:t>
            </w:r>
            <w:r w:rsidR="00D759C9">
              <w:rPr>
                <w:b/>
                <w:caps/>
              </w:rPr>
              <w:t>5</w:t>
            </w:r>
            <w:r w:rsidRPr="002A48EA">
              <w:rPr>
                <w:b/>
                <w:caps/>
              </w:rPr>
              <w:t>/</w:t>
            </w:r>
            <w:r w:rsidR="000C3158">
              <w:rPr>
                <w:b/>
                <w:caps/>
              </w:rPr>
              <w:t>1</w:t>
            </w:r>
            <w:r w:rsidR="00D759C9">
              <w:rPr>
                <w:b/>
                <w:caps/>
              </w:rPr>
              <w:t>6</w:t>
            </w:r>
          </w:p>
        </w:tc>
        <w:tc>
          <w:tcPr>
            <w:tcW w:w="1821" w:type="dxa"/>
          </w:tcPr>
          <w:p w:rsidR="00AE032B" w:rsidRPr="002A48EA" w:rsidRDefault="00AE032B">
            <w:pPr>
              <w:ind w:right="-521"/>
              <w:jc w:val="center"/>
              <w:rPr>
                <w:b/>
              </w:rPr>
            </w:pPr>
            <w:r w:rsidRPr="002A48EA">
              <w:rPr>
                <w:b/>
              </w:rPr>
              <w:t xml:space="preserve">   201</w:t>
            </w:r>
            <w:r w:rsidR="00D759C9">
              <w:rPr>
                <w:b/>
              </w:rPr>
              <w:t>6</w:t>
            </w:r>
            <w:r w:rsidR="000C3158">
              <w:rPr>
                <w:b/>
              </w:rPr>
              <w:t>/1</w:t>
            </w:r>
            <w:r w:rsidR="00D759C9">
              <w:rPr>
                <w:b/>
              </w:rPr>
              <w:t>7</w:t>
            </w:r>
          </w:p>
        </w:tc>
        <w:tc>
          <w:tcPr>
            <w:tcW w:w="1822" w:type="dxa"/>
          </w:tcPr>
          <w:p w:rsidR="00AE032B" w:rsidRPr="002A48EA" w:rsidRDefault="00AE032B">
            <w:pPr>
              <w:ind w:right="-521"/>
              <w:jc w:val="center"/>
              <w:rPr>
                <w:b/>
              </w:rPr>
            </w:pPr>
            <w:r w:rsidRPr="002A48EA">
              <w:rPr>
                <w:b/>
              </w:rPr>
              <w:t xml:space="preserve">  201</w:t>
            </w:r>
            <w:r w:rsidR="00D759C9">
              <w:rPr>
                <w:b/>
              </w:rPr>
              <w:t>7</w:t>
            </w:r>
            <w:r w:rsidR="000C3158">
              <w:rPr>
                <w:b/>
              </w:rPr>
              <w:t>/1</w:t>
            </w:r>
            <w:r w:rsidR="00D759C9">
              <w:rPr>
                <w:b/>
              </w:rPr>
              <w:t>8</w:t>
            </w:r>
          </w:p>
        </w:tc>
        <w:tc>
          <w:tcPr>
            <w:tcW w:w="1822" w:type="dxa"/>
          </w:tcPr>
          <w:p w:rsidR="00AE032B" w:rsidRPr="002A48EA" w:rsidRDefault="00AE032B">
            <w:pPr>
              <w:ind w:right="-521"/>
              <w:jc w:val="center"/>
              <w:rPr>
                <w:b/>
              </w:rPr>
            </w:pPr>
            <w:r w:rsidRPr="002A48EA">
              <w:rPr>
                <w:b/>
              </w:rPr>
              <w:t xml:space="preserve">      201</w:t>
            </w:r>
            <w:r w:rsidR="00D759C9">
              <w:rPr>
                <w:b/>
              </w:rPr>
              <w:t>8</w:t>
            </w:r>
            <w:r w:rsidR="000C3158">
              <w:rPr>
                <w:b/>
              </w:rPr>
              <w:t>/1</w:t>
            </w:r>
            <w:r w:rsidR="00D759C9">
              <w:rPr>
                <w:b/>
              </w:rPr>
              <w:t>9</w:t>
            </w:r>
          </w:p>
        </w:tc>
      </w:tr>
    </w:tbl>
    <w:p w:rsidR="00AE032B" w:rsidRPr="002A48EA" w:rsidRDefault="00AE032B" w:rsidP="00C2176F">
      <w:pPr>
        <w:spacing w:after="240"/>
        <w:jc w:val="center"/>
      </w:pPr>
      <w:r w:rsidRPr="002A48EA">
        <w:t>Adopted for all years</w:t>
      </w:r>
    </w:p>
    <w:p w:rsidR="004F3510" w:rsidRPr="002A48EA" w:rsidRDefault="004F3510" w:rsidP="004F3510">
      <w:pPr>
        <w:pStyle w:val="Heading3"/>
      </w:pPr>
      <w:r w:rsidRPr="002A48EA">
        <w:t>Indicators on Capital Expenditure and Financing</w:t>
      </w:r>
    </w:p>
    <w:p w:rsidR="004F3510" w:rsidRPr="002A48EA" w:rsidRDefault="004F3510" w:rsidP="004F3510">
      <w:pPr>
        <w:spacing w:after="240"/>
      </w:pPr>
      <w:r w:rsidRPr="002A48EA">
        <w:t xml:space="preserve">The total capital expenditure in each year, irrespective of the method of financing estimated to be incurred by the </w:t>
      </w:r>
      <w:r w:rsidR="00F25AD0">
        <w:t>County council</w:t>
      </w:r>
      <w:r w:rsidRPr="002A48EA">
        <w:t xml:space="preserve"> is as follows: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1822"/>
        <w:gridCol w:w="1821"/>
        <w:gridCol w:w="1822"/>
        <w:gridCol w:w="1822"/>
      </w:tblGrid>
      <w:tr w:rsidR="003E72E2" w:rsidRPr="001143BB" w:rsidTr="003E72E2">
        <w:tc>
          <w:tcPr>
            <w:tcW w:w="1821" w:type="dxa"/>
          </w:tcPr>
          <w:p w:rsidR="003E72E2" w:rsidRPr="001143BB" w:rsidRDefault="00291641">
            <w:pPr>
              <w:jc w:val="center"/>
              <w:rPr>
                <w:b/>
                <w:highlight w:val="yellow"/>
              </w:rPr>
            </w:pPr>
            <w:r w:rsidRPr="002A48EA">
              <w:rPr>
                <w:b/>
                <w:caps/>
              </w:rPr>
              <w:t>201</w:t>
            </w:r>
            <w:r>
              <w:rPr>
                <w:b/>
                <w:caps/>
              </w:rPr>
              <w:t>4</w:t>
            </w:r>
            <w:r w:rsidR="003E72E2" w:rsidRPr="002A48EA">
              <w:rPr>
                <w:b/>
                <w:caps/>
              </w:rPr>
              <w:t>/1</w:t>
            </w:r>
            <w:r>
              <w:rPr>
                <w:b/>
                <w:caps/>
              </w:rPr>
              <w:t>5</w:t>
            </w:r>
          </w:p>
        </w:tc>
        <w:tc>
          <w:tcPr>
            <w:tcW w:w="1822" w:type="dxa"/>
          </w:tcPr>
          <w:p w:rsidR="003E72E2" w:rsidRPr="002A48EA" w:rsidRDefault="003E72E2">
            <w:pPr>
              <w:jc w:val="center"/>
              <w:rPr>
                <w:b/>
              </w:rPr>
            </w:pPr>
            <w:r w:rsidRPr="002A48EA">
              <w:rPr>
                <w:b/>
              </w:rPr>
              <w:t>201</w:t>
            </w:r>
            <w:r w:rsidR="00291641">
              <w:rPr>
                <w:b/>
              </w:rPr>
              <w:t>5</w:t>
            </w:r>
            <w:r w:rsidRPr="002A48EA">
              <w:rPr>
                <w:b/>
              </w:rPr>
              <w:t>/1</w:t>
            </w:r>
            <w:r w:rsidR="00291641">
              <w:rPr>
                <w:b/>
              </w:rPr>
              <w:t>6</w:t>
            </w:r>
          </w:p>
        </w:tc>
        <w:tc>
          <w:tcPr>
            <w:tcW w:w="1821" w:type="dxa"/>
          </w:tcPr>
          <w:p w:rsidR="003E72E2" w:rsidRPr="002A48EA" w:rsidRDefault="00291641">
            <w:pPr>
              <w:jc w:val="center"/>
              <w:rPr>
                <w:b/>
              </w:rPr>
            </w:pPr>
            <w:r w:rsidRPr="002A48EA">
              <w:rPr>
                <w:b/>
              </w:rPr>
              <w:t>201</w:t>
            </w:r>
            <w:r>
              <w:rPr>
                <w:b/>
              </w:rPr>
              <w:t>6</w:t>
            </w:r>
            <w:r w:rsidR="003E72E2" w:rsidRPr="002A48EA">
              <w:rPr>
                <w:b/>
              </w:rPr>
              <w:t>/1</w:t>
            </w:r>
            <w:r>
              <w:rPr>
                <w:b/>
              </w:rPr>
              <w:t>7</w:t>
            </w:r>
          </w:p>
        </w:tc>
        <w:tc>
          <w:tcPr>
            <w:tcW w:w="1822" w:type="dxa"/>
          </w:tcPr>
          <w:p w:rsidR="003E72E2" w:rsidRPr="002A48EA" w:rsidRDefault="00291641">
            <w:pPr>
              <w:jc w:val="center"/>
              <w:rPr>
                <w:b/>
              </w:rPr>
            </w:pPr>
            <w:r w:rsidRPr="002A48EA">
              <w:rPr>
                <w:b/>
              </w:rPr>
              <w:t>201</w:t>
            </w:r>
            <w:r>
              <w:rPr>
                <w:b/>
              </w:rPr>
              <w:t>7</w:t>
            </w:r>
            <w:r w:rsidR="003E72E2" w:rsidRPr="002A48EA">
              <w:rPr>
                <w:b/>
              </w:rPr>
              <w:t>/1</w:t>
            </w:r>
            <w:r>
              <w:rPr>
                <w:b/>
              </w:rPr>
              <w:t>8</w:t>
            </w:r>
          </w:p>
        </w:tc>
        <w:tc>
          <w:tcPr>
            <w:tcW w:w="1822" w:type="dxa"/>
          </w:tcPr>
          <w:p w:rsidR="003E72E2" w:rsidRPr="002A48EA" w:rsidRDefault="003E72E2">
            <w:pPr>
              <w:jc w:val="center"/>
              <w:rPr>
                <w:b/>
              </w:rPr>
            </w:pPr>
            <w:r w:rsidRPr="002A48EA">
              <w:rPr>
                <w:b/>
              </w:rPr>
              <w:t>201</w:t>
            </w:r>
            <w:r w:rsidR="00291641">
              <w:rPr>
                <w:b/>
              </w:rPr>
              <w:t>8</w:t>
            </w:r>
            <w:r>
              <w:rPr>
                <w:b/>
              </w:rPr>
              <w:t>/1</w:t>
            </w:r>
            <w:r w:rsidR="00291641">
              <w:rPr>
                <w:b/>
              </w:rPr>
              <w:t>9</w:t>
            </w:r>
          </w:p>
        </w:tc>
      </w:tr>
      <w:tr w:rsidR="004F3510" w:rsidRPr="001143BB" w:rsidTr="003E72E2">
        <w:tc>
          <w:tcPr>
            <w:tcW w:w="1821" w:type="dxa"/>
          </w:tcPr>
          <w:p w:rsidR="004F3510" w:rsidRPr="00F861B8" w:rsidRDefault="004F3510" w:rsidP="004F3510">
            <w:pPr>
              <w:jc w:val="center"/>
              <w:rPr>
                <w:b/>
              </w:rPr>
            </w:pPr>
            <w:r w:rsidRPr="00F861B8">
              <w:rPr>
                <w:b/>
              </w:rPr>
              <w:t>Actual</w:t>
            </w:r>
          </w:p>
        </w:tc>
        <w:tc>
          <w:tcPr>
            <w:tcW w:w="1822" w:type="dxa"/>
          </w:tcPr>
          <w:p w:rsidR="004F3510" w:rsidRPr="00D73ADA" w:rsidRDefault="004F3510" w:rsidP="004F3510">
            <w:pPr>
              <w:jc w:val="center"/>
              <w:rPr>
                <w:b/>
              </w:rPr>
            </w:pPr>
            <w:r w:rsidRPr="00D73ADA">
              <w:rPr>
                <w:b/>
              </w:rPr>
              <w:t>Estimate</w:t>
            </w:r>
          </w:p>
        </w:tc>
        <w:tc>
          <w:tcPr>
            <w:tcW w:w="1821" w:type="dxa"/>
          </w:tcPr>
          <w:p w:rsidR="004F3510" w:rsidRPr="00D73ADA" w:rsidRDefault="004F3510" w:rsidP="004F3510">
            <w:pPr>
              <w:jc w:val="center"/>
              <w:rPr>
                <w:b/>
              </w:rPr>
            </w:pPr>
            <w:r w:rsidRPr="00D73ADA">
              <w:rPr>
                <w:b/>
              </w:rPr>
              <w:t>Estimate</w:t>
            </w:r>
          </w:p>
        </w:tc>
        <w:tc>
          <w:tcPr>
            <w:tcW w:w="1822" w:type="dxa"/>
          </w:tcPr>
          <w:p w:rsidR="004F3510" w:rsidRPr="00D73ADA" w:rsidRDefault="004F3510" w:rsidP="004F3510">
            <w:pPr>
              <w:jc w:val="center"/>
              <w:rPr>
                <w:b/>
              </w:rPr>
            </w:pPr>
            <w:r w:rsidRPr="00D73ADA">
              <w:rPr>
                <w:b/>
              </w:rPr>
              <w:t>Estimate</w:t>
            </w:r>
          </w:p>
        </w:tc>
        <w:tc>
          <w:tcPr>
            <w:tcW w:w="1822" w:type="dxa"/>
          </w:tcPr>
          <w:p w:rsidR="004F3510" w:rsidRPr="00D73ADA" w:rsidRDefault="004F3510" w:rsidP="004F3510">
            <w:pPr>
              <w:jc w:val="center"/>
              <w:rPr>
                <w:b/>
              </w:rPr>
            </w:pPr>
            <w:r w:rsidRPr="00D73ADA">
              <w:rPr>
                <w:b/>
              </w:rPr>
              <w:t>Estimate</w:t>
            </w:r>
          </w:p>
        </w:tc>
      </w:tr>
      <w:tr w:rsidR="004F3510" w:rsidRPr="001143BB" w:rsidTr="003E72E2">
        <w:tc>
          <w:tcPr>
            <w:tcW w:w="1821" w:type="dxa"/>
          </w:tcPr>
          <w:p w:rsidR="004F3510" w:rsidRPr="00F861B8" w:rsidRDefault="004F3510" w:rsidP="00221A79">
            <w:pPr>
              <w:spacing w:after="120"/>
              <w:jc w:val="center"/>
              <w:rPr>
                <w:b/>
              </w:rPr>
            </w:pPr>
            <w:r w:rsidRPr="00F861B8">
              <w:rPr>
                <w:b/>
              </w:rPr>
              <w:t>£</w:t>
            </w:r>
            <w:r w:rsidR="00221A79" w:rsidRPr="00F861B8">
              <w:rPr>
                <w:b/>
              </w:rPr>
              <w:t>m</w:t>
            </w:r>
          </w:p>
        </w:tc>
        <w:tc>
          <w:tcPr>
            <w:tcW w:w="1822" w:type="dxa"/>
          </w:tcPr>
          <w:p w:rsidR="004F3510" w:rsidRPr="00D73ADA" w:rsidRDefault="004F3510" w:rsidP="00221A79">
            <w:pPr>
              <w:spacing w:after="120"/>
              <w:jc w:val="center"/>
              <w:rPr>
                <w:b/>
              </w:rPr>
            </w:pPr>
            <w:r w:rsidRPr="00D73ADA">
              <w:rPr>
                <w:b/>
              </w:rPr>
              <w:t>£</w:t>
            </w:r>
            <w:r w:rsidR="00221A79" w:rsidRPr="00D73ADA">
              <w:rPr>
                <w:b/>
              </w:rPr>
              <w:t>m</w:t>
            </w:r>
          </w:p>
        </w:tc>
        <w:tc>
          <w:tcPr>
            <w:tcW w:w="1821" w:type="dxa"/>
          </w:tcPr>
          <w:p w:rsidR="004F3510" w:rsidRPr="00D73ADA" w:rsidRDefault="004F3510" w:rsidP="00221A79">
            <w:pPr>
              <w:spacing w:after="120"/>
              <w:jc w:val="center"/>
              <w:rPr>
                <w:b/>
              </w:rPr>
            </w:pPr>
            <w:r w:rsidRPr="00D73ADA">
              <w:rPr>
                <w:b/>
              </w:rPr>
              <w:t>£</w:t>
            </w:r>
            <w:r w:rsidR="00F637E1" w:rsidRPr="00D73ADA">
              <w:rPr>
                <w:b/>
              </w:rPr>
              <w:t>m</w:t>
            </w:r>
          </w:p>
        </w:tc>
        <w:tc>
          <w:tcPr>
            <w:tcW w:w="1822" w:type="dxa"/>
          </w:tcPr>
          <w:p w:rsidR="004F3510" w:rsidRPr="00D73ADA" w:rsidRDefault="004F3510" w:rsidP="00221A79">
            <w:pPr>
              <w:spacing w:after="120"/>
              <w:jc w:val="center"/>
              <w:rPr>
                <w:b/>
              </w:rPr>
            </w:pPr>
            <w:r w:rsidRPr="00D73ADA">
              <w:rPr>
                <w:b/>
              </w:rPr>
              <w:t>£</w:t>
            </w:r>
            <w:r w:rsidR="00221A79" w:rsidRPr="00D73ADA">
              <w:rPr>
                <w:b/>
              </w:rPr>
              <w:t>m</w:t>
            </w:r>
          </w:p>
        </w:tc>
        <w:tc>
          <w:tcPr>
            <w:tcW w:w="1822" w:type="dxa"/>
          </w:tcPr>
          <w:p w:rsidR="004F3510" w:rsidRPr="00D73ADA" w:rsidRDefault="004F3510" w:rsidP="00221A79">
            <w:pPr>
              <w:spacing w:after="120"/>
              <w:jc w:val="center"/>
              <w:rPr>
                <w:b/>
              </w:rPr>
            </w:pPr>
            <w:r w:rsidRPr="00D73ADA">
              <w:rPr>
                <w:b/>
              </w:rPr>
              <w:t>£</w:t>
            </w:r>
            <w:r w:rsidR="00221A79" w:rsidRPr="00D73ADA">
              <w:rPr>
                <w:b/>
              </w:rPr>
              <w:t>m</w:t>
            </w:r>
          </w:p>
        </w:tc>
      </w:tr>
      <w:tr w:rsidR="004F3510" w:rsidRPr="001143BB" w:rsidTr="003E72E2">
        <w:tc>
          <w:tcPr>
            <w:tcW w:w="1821" w:type="dxa"/>
          </w:tcPr>
          <w:p w:rsidR="004F3510" w:rsidRPr="00F861B8" w:rsidRDefault="00313BDB" w:rsidP="00931FB3">
            <w:pPr>
              <w:spacing w:after="240"/>
              <w:jc w:val="center"/>
            </w:pPr>
            <w:r>
              <w:t>178.016</w:t>
            </w:r>
          </w:p>
        </w:tc>
        <w:tc>
          <w:tcPr>
            <w:tcW w:w="1822" w:type="dxa"/>
          </w:tcPr>
          <w:p w:rsidR="004F3510" w:rsidRPr="00D73ADA" w:rsidRDefault="00291641" w:rsidP="00931FB3">
            <w:pPr>
              <w:spacing w:after="240"/>
              <w:jc w:val="center"/>
            </w:pPr>
            <w:r>
              <w:t>250.521</w:t>
            </w:r>
          </w:p>
        </w:tc>
        <w:tc>
          <w:tcPr>
            <w:tcW w:w="1821" w:type="dxa"/>
          </w:tcPr>
          <w:p w:rsidR="004F3510" w:rsidRPr="00D73ADA" w:rsidRDefault="00291641" w:rsidP="00931FB3">
            <w:pPr>
              <w:spacing w:after="240"/>
              <w:jc w:val="center"/>
            </w:pPr>
            <w:r>
              <w:t>103.805</w:t>
            </w:r>
          </w:p>
        </w:tc>
        <w:tc>
          <w:tcPr>
            <w:tcW w:w="1822" w:type="dxa"/>
          </w:tcPr>
          <w:p w:rsidR="004F3510" w:rsidRPr="00D73ADA" w:rsidRDefault="00291641" w:rsidP="00931FB3">
            <w:pPr>
              <w:spacing w:after="240"/>
              <w:jc w:val="center"/>
            </w:pPr>
            <w:r>
              <w:t>77.024</w:t>
            </w:r>
          </w:p>
        </w:tc>
        <w:tc>
          <w:tcPr>
            <w:tcW w:w="1822" w:type="dxa"/>
          </w:tcPr>
          <w:p w:rsidR="004F3510" w:rsidRPr="00D73ADA" w:rsidRDefault="00291641" w:rsidP="00931FB3">
            <w:pPr>
              <w:spacing w:after="240"/>
              <w:jc w:val="center"/>
            </w:pPr>
            <w:r>
              <w:t>49.621</w:t>
            </w:r>
          </w:p>
        </w:tc>
      </w:tr>
    </w:tbl>
    <w:p w:rsidR="004F4C29" w:rsidRDefault="004F4C29" w:rsidP="004F3510">
      <w:pPr>
        <w:spacing w:after="240"/>
      </w:pPr>
    </w:p>
    <w:p w:rsidR="005F770C" w:rsidRPr="00D635B5" w:rsidRDefault="004F3510" w:rsidP="004F3510">
      <w:pPr>
        <w:spacing w:after="240"/>
      </w:pPr>
      <w:r w:rsidRPr="002A48EA">
        <w:t xml:space="preserve">The estimated capital expenditure stated above will be financed by a mixture of borrowing, capital receipts, revenue contributions, grants and other contributions.  A key control of the prudential system is the underlying need to borrow for capital purposes, which is represented by the cumulative effect of past borrowing decisions and future plans.  This is shown as the capital financing requirement.  This is not the same as the actual borrowing on any one day, as </w:t>
      </w:r>
      <w:r w:rsidR="00221A79" w:rsidRPr="002A48EA">
        <w:t xml:space="preserve">day to day borrowing requirements incorporate the effect of </w:t>
      </w:r>
      <w:r w:rsidRPr="002A48EA">
        <w:t xml:space="preserve">cash flow movements relating to </w:t>
      </w:r>
      <w:r w:rsidR="00221A79" w:rsidRPr="002A48EA">
        <w:t xml:space="preserve">both </w:t>
      </w:r>
      <w:r w:rsidRPr="002A48EA">
        <w:t xml:space="preserve">capital and revenue </w:t>
      </w:r>
      <w:r w:rsidR="00221A79" w:rsidRPr="002A48EA">
        <w:t>expenditure and income</w:t>
      </w:r>
      <w:r w:rsidRPr="002A48EA">
        <w:t>.  The estimate of the capital financing requirement for each year is as follows</w:t>
      </w:r>
      <w:r w:rsidR="00E8740A" w:rsidRPr="002A48EA">
        <w:t>, and includes the impact of PFI obligations.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1822"/>
        <w:gridCol w:w="1821"/>
        <w:gridCol w:w="1822"/>
        <w:gridCol w:w="1822"/>
      </w:tblGrid>
      <w:tr w:rsidR="003E72E2" w:rsidRPr="001143BB" w:rsidTr="003E72E2">
        <w:tc>
          <w:tcPr>
            <w:tcW w:w="1821" w:type="dxa"/>
          </w:tcPr>
          <w:p w:rsidR="003E72E2" w:rsidRPr="00931FB3" w:rsidRDefault="00291641">
            <w:pPr>
              <w:jc w:val="center"/>
              <w:rPr>
                <w:b/>
              </w:rPr>
            </w:pPr>
            <w:r w:rsidRPr="002A48EA">
              <w:rPr>
                <w:b/>
                <w:caps/>
              </w:rPr>
              <w:t>201</w:t>
            </w:r>
            <w:r>
              <w:rPr>
                <w:b/>
                <w:caps/>
              </w:rPr>
              <w:t>4</w:t>
            </w:r>
            <w:r w:rsidR="003E72E2" w:rsidRPr="002A48EA">
              <w:rPr>
                <w:b/>
                <w:caps/>
              </w:rPr>
              <w:t>/1</w:t>
            </w:r>
            <w:r>
              <w:rPr>
                <w:b/>
                <w:caps/>
              </w:rPr>
              <w:t>5</w:t>
            </w:r>
          </w:p>
        </w:tc>
        <w:tc>
          <w:tcPr>
            <w:tcW w:w="1822" w:type="dxa"/>
          </w:tcPr>
          <w:p w:rsidR="003E72E2" w:rsidRPr="002A48EA" w:rsidRDefault="003E72E2">
            <w:pPr>
              <w:jc w:val="center"/>
              <w:rPr>
                <w:b/>
              </w:rPr>
            </w:pPr>
            <w:r w:rsidRPr="002A48EA">
              <w:rPr>
                <w:b/>
              </w:rPr>
              <w:t>201</w:t>
            </w:r>
            <w:r w:rsidR="00291641">
              <w:rPr>
                <w:b/>
              </w:rPr>
              <w:t>5</w:t>
            </w:r>
            <w:r w:rsidRPr="002A48EA">
              <w:rPr>
                <w:b/>
              </w:rPr>
              <w:t>/1</w:t>
            </w:r>
            <w:r w:rsidR="00291641">
              <w:rPr>
                <w:b/>
              </w:rPr>
              <w:t>6</w:t>
            </w:r>
          </w:p>
        </w:tc>
        <w:tc>
          <w:tcPr>
            <w:tcW w:w="1821" w:type="dxa"/>
          </w:tcPr>
          <w:p w:rsidR="003E72E2" w:rsidRPr="002A48EA" w:rsidRDefault="003E72E2">
            <w:pPr>
              <w:jc w:val="center"/>
              <w:rPr>
                <w:b/>
              </w:rPr>
            </w:pPr>
            <w:r w:rsidRPr="002A48EA">
              <w:rPr>
                <w:b/>
              </w:rPr>
              <w:t>201</w:t>
            </w:r>
            <w:r w:rsidR="00291641">
              <w:rPr>
                <w:b/>
              </w:rPr>
              <w:t>6</w:t>
            </w:r>
            <w:r w:rsidRPr="002A48EA">
              <w:rPr>
                <w:b/>
              </w:rPr>
              <w:t>/1</w:t>
            </w:r>
            <w:r w:rsidR="00291641">
              <w:rPr>
                <w:b/>
              </w:rPr>
              <w:t>7</w:t>
            </w:r>
          </w:p>
        </w:tc>
        <w:tc>
          <w:tcPr>
            <w:tcW w:w="1822" w:type="dxa"/>
          </w:tcPr>
          <w:p w:rsidR="003E72E2" w:rsidRPr="002A48EA" w:rsidRDefault="003E72E2">
            <w:pPr>
              <w:jc w:val="center"/>
              <w:rPr>
                <w:b/>
              </w:rPr>
            </w:pPr>
            <w:r w:rsidRPr="002A48EA">
              <w:rPr>
                <w:b/>
              </w:rPr>
              <w:t>201</w:t>
            </w:r>
            <w:r w:rsidR="00291641">
              <w:rPr>
                <w:b/>
              </w:rPr>
              <w:t>7</w:t>
            </w:r>
            <w:r w:rsidRPr="002A48EA">
              <w:rPr>
                <w:b/>
              </w:rPr>
              <w:t>/1</w:t>
            </w:r>
            <w:r w:rsidR="00291641">
              <w:rPr>
                <w:b/>
              </w:rPr>
              <w:t>8</w:t>
            </w:r>
          </w:p>
        </w:tc>
        <w:tc>
          <w:tcPr>
            <w:tcW w:w="1822" w:type="dxa"/>
          </w:tcPr>
          <w:p w:rsidR="003E72E2" w:rsidRPr="002A48EA" w:rsidRDefault="003E72E2">
            <w:pPr>
              <w:jc w:val="center"/>
              <w:rPr>
                <w:b/>
              </w:rPr>
            </w:pPr>
            <w:r w:rsidRPr="002A48EA">
              <w:rPr>
                <w:b/>
              </w:rPr>
              <w:t>201</w:t>
            </w:r>
            <w:r w:rsidR="00291641">
              <w:rPr>
                <w:b/>
              </w:rPr>
              <w:t>8</w:t>
            </w:r>
            <w:r>
              <w:rPr>
                <w:b/>
              </w:rPr>
              <w:t>/1</w:t>
            </w:r>
            <w:r w:rsidR="00291641">
              <w:rPr>
                <w:b/>
              </w:rPr>
              <w:t>9</w:t>
            </w:r>
          </w:p>
        </w:tc>
      </w:tr>
      <w:tr w:rsidR="004F3510" w:rsidRPr="001143BB" w:rsidTr="003E72E2">
        <w:tc>
          <w:tcPr>
            <w:tcW w:w="1821" w:type="dxa"/>
          </w:tcPr>
          <w:p w:rsidR="004F3510" w:rsidRPr="00931FB3" w:rsidRDefault="004F3510" w:rsidP="004F3510">
            <w:pPr>
              <w:jc w:val="center"/>
              <w:rPr>
                <w:b/>
              </w:rPr>
            </w:pPr>
            <w:r w:rsidRPr="00931FB3">
              <w:rPr>
                <w:b/>
              </w:rPr>
              <w:t>Actual</w:t>
            </w:r>
          </w:p>
        </w:tc>
        <w:tc>
          <w:tcPr>
            <w:tcW w:w="1822" w:type="dxa"/>
          </w:tcPr>
          <w:p w:rsidR="004F3510" w:rsidRPr="002A48EA" w:rsidRDefault="004F3510" w:rsidP="004F3510">
            <w:pPr>
              <w:jc w:val="center"/>
              <w:rPr>
                <w:b/>
              </w:rPr>
            </w:pPr>
            <w:r w:rsidRPr="002A48EA">
              <w:rPr>
                <w:b/>
              </w:rPr>
              <w:t>Estimate</w:t>
            </w:r>
          </w:p>
        </w:tc>
        <w:tc>
          <w:tcPr>
            <w:tcW w:w="1821" w:type="dxa"/>
          </w:tcPr>
          <w:p w:rsidR="004F3510" w:rsidRPr="002A48EA" w:rsidRDefault="004F3510" w:rsidP="004F3510">
            <w:pPr>
              <w:jc w:val="center"/>
              <w:rPr>
                <w:b/>
              </w:rPr>
            </w:pPr>
            <w:r w:rsidRPr="002A48EA">
              <w:rPr>
                <w:b/>
              </w:rPr>
              <w:t>Estimate</w:t>
            </w:r>
          </w:p>
        </w:tc>
        <w:tc>
          <w:tcPr>
            <w:tcW w:w="1822" w:type="dxa"/>
          </w:tcPr>
          <w:p w:rsidR="004F3510" w:rsidRPr="002A48EA" w:rsidRDefault="004F3510" w:rsidP="004F3510">
            <w:pPr>
              <w:jc w:val="center"/>
              <w:rPr>
                <w:b/>
              </w:rPr>
            </w:pPr>
            <w:r w:rsidRPr="002A48EA">
              <w:rPr>
                <w:b/>
              </w:rPr>
              <w:t>Estimate</w:t>
            </w:r>
          </w:p>
        </w:tc>
        <w:tc>
          <w:tcPr>
            <w:tcW w:w="1822" w:type="dxa"/>
          </w:tcPr>
          <w:p w:rsidR="004F3510" w:rsidRPr="002A48EA" w:rsidRDefault="004F3510" w:rsidP="004F3510">
            <w:pPr>
              <w:jc w:val="center"/>
              <w:rPr>
                <w:b/>
              </w:rPr>
            </w:pPr>
            <w:r w:rsidRPr="002A48EA">
              <w:rPr>
                <w:b/>
              </w:rPr>
              <w:t>Estimate</w:t>
            </w:r>
          </w:p>
        </w:tc>
      </w:tr>
      <w:tr w:rsidR="004F3510" w:rsidRPr="001143BB" w:rsidTr="003E72E2">
        <w:tc>
          <w:tcPr>
            <w:tcW w:w="1821" w:type="dxa"/>
          </w:tcPr>
          <w:p w:rsidR="004F3510" w:rsidRPr="00931FB3" w:rsidRDefault="004F3510" w:rsidP="00221A79">
            <w:pPr>
              <w:spacing w:after="120"/>
              <w:jc w:val="center"/>
              <w:rPr>
                <w:b/>
              </w:rPr>
            </w:pPr>
            <w:r w:rsidRPr="00931FB3">
              <w:rPr>
                <w:b/>
              </w:rPr>
              <w:t>£</w:t>
            </w:r>
            <w:r w:rsidR="00221A79" w:rsidRPr="00931FB3">
              <w:rPr>
                <w:b/>
              </w:rPr>
              <w:t>m</w:t>
            </w:r>
          </w:p>
        </w:tc>
        <w:tc>
          <w:tcPr>
            <w:tcW w:w="1822" w:type="dxa"/>
          </w:tcPr>
          <w:p w:rsidR="004F3510" w:rsidRPr="002A48EA" w:rsidRDefault="004F3510" w:rsidP="00221A79">
            <w:pPr>
              <w:spacing w:after="120"/>
              <w:jc w:val="center"/>
              <w:rPr>
                <w:b/>
              </w:rPr>
            </w:pPr>
            <w:r w:rsidRPr="002A48EA">
              <w:rPr>
                <w:b/>
              </w:rPr>
              <w:t>£</w:t>
            </w:r>
            <w:r w:rsidR="00221A79" w:rsidRPr="002A48EA">
              <w:rPr>
                <w:b/>
              </w:rPr>
              <w:t>m</w:t>
            </w:r>
          </w:p>
        </w:tc>
        <w:tc>
          <w:tcPr>
            <w:tcW w:w="1821" w:type="dxa"/>
          </w:tcPr>
          <w:p w:rsidR="004F3510" w:rsidRPr="002A48EA" w:rsidRDefault="004F3510" w:rsidP="00221A79">
            <w:pPr>
              <w:spacing w:after="120"/>
              <w:jc w:val="center"/>
              <w:rPr>
                <w:b/>
              </w:rPr>
            </w:pPr>
            <w:r w:rsidRPr="002A48EA">
              <w:rPr>
                <w:b/>
              </w:rPr>
              <w:t>£</w:t>
            </w:r>
            <w:r w:rsidR="00221A79" w:rsidRPr="002A48EA">
              <w:rPr>
                <w:b/>
              </w:rPr>
              <w:t>m</w:t>
            </w:r>
          </w:p>
        </w:tc>
        <w:tc>
          <w:tcPr>
            <w:tcW w:w="1822" w:type="dxa"/>
          </w:tcPr>
          <w:p w:rsidR="004F3510" w:rsidRPr="002A48EA" w:rsidRDefault="004F3510" w:rsidP="00221A79">
            <w:pPr>
              <w:spacing w:after="120"/>
              <w:jc w:val="center"/>
              <w:rPr>
                <w:b/>
              </w:rPr>
            </w:pPr>
            <w:r w:rsidRPr="002A48EA">
              <w:rPr>
                <w:b/>
              </w:rPr>
              <w:t>£</w:t>
            </w:r>
            <w:r w:rsidR="00221A79" w:rsidRPr="002A48EA">
              <w:rPr>
                <w:b/>
              </w:rPr>
              <w:t>m</w:t>
            </w:r>
          </w:p>
        </w:tc>
        <w:tc>
          <w:tcPr>
            <w:tcW w:w="1822" w:type="dxa"/>
          </w:tcPr>
          <w:p w:rsidR="004F3510" w:rsidRPr="002A48EA" w:rsidRDefault="004F3510" w:rsidP="00221A79">
            <w:pPr>
              <w:spacing w:after="120"/>
              <w:jc w:val="center"/>
              <w:rPr>
                <w:b/>
              </w:rPr>
            </w:pPr>
            <w:r w:rsidRPr="002A48EA">
              <w:rPr>
                <w:b/>
              </w:rPr>
              <w:t>£</w:t>
            </w:r>
            <w:r w:rsidR="00221A79" w:rsidRPr="002A48EA">
              <w:rPr>
                <w:b/>
              </w:rPr>
              <w:t>m</w:t>
            </w:r>
          </w:p>
        </w:tc>
      </w:tr>
      <w:tr w:rsidR="004F3510" w:rsidRPr="001143BB" w:rsidTr="003E72E2">
        <w:tc>
          <w:tcPr>
            <w:tcW w:w="1821" w:type="dxa"/>
          </w:tcPr>
          <w:p w:rsidR="004F3510" w:rsidRPr="00D73ADA" w:rsidRDefault="00931FB3">
            <w:pPr>
              <w:spacing w:after="240"/>
              <w:jc w:val="center"/>
            </w:pPr>
            <w:r w:rsidRPr="00D73ADA">
              <w:t>1,</w:t>
            </w:r>
            <w:r w:rsidR="00291641">
              <w:t>022.485</w:t>
            </w:r>
          </w:p>
        </w:tc>
        <w:tc>
          <w:tcPr>
            <w:tcW w:w="1822" w:type="dxa"/>
          </w:tcPr>
          <w:p w:rsidR="004F3510" w:rsidRPr="00D73ADA" w:rsidRDefault="00931FB3">
            <w:pPr>
              <w:spacing w:after="240"/>
              <w:jc w:val="center"/>
            </w:pPr>
            <w:r w:rsidRPr="00D73ADA">
              <w:t>1</w:t>
            </w:r>
            <w:r w:rsidR="00291641">
              <w:t>,</w:t>
            </w:r>
            <w:r w:rsidR="003B0162" w:rsidRPr="00F861B8">
              <w:t>0</w:t>
            </w:r>
            <w:r w:rsidR="00291641">
              <w:t>43</w:t>
            </w:r>
            <w:r w:rsidR="003B0162" w:rsidRPr="00F861B8">
              <w:t>.</w:t>
            </w:r>
            <w:r w:rsidR="00291641">
              <w:t>945</w:t>
            </w:r>
          </w:p>
        </w:tc>
        <w:tc>
          <w:tcPr>
            <w:tcW w:w="1821" w:type="dxa"/>
          </w:tcPr>
          <w:p w:rsidR="004F3510" w:rsidRPr="00D73ADA" w:rsidRDefault="00931FB3">
            <w:pPr>
              <w:spacing w:after="240"/>
              <w:jc w:val="center"/>
            </w:pPr>
            <w:r w:rsidRPr="00D73ADA">
              <w:t>1,</w:t>
            </w:r>
            <w:r w:rsidR="003B0162" w:rsidRPr="00F861B8">
              <w:t>0</w:t>
            </w:r>
            <w:r w:rsidR="00291641">
              <w:t>68</w:t>
            </w:r>
            <w:r w:rsidR="003B0162" w:rsidRPr="00F861B8">
              <w:t>.</w:t>
            </w:r>
            <w:r w:rsidR="00291641">
              <w:t>207</w:t>
            </w:r>
          </w:p>
        </w:tc>
        <w:tc>
          <w:tcPr>
            <w:tcW w:w="1822" w:type="dxa"/>
          </w:tcPr>
          <w:p w:rsidR="004F3510" w:rsidRPr="00D73ADA" w:rsidRDefault="00931FB3">
            <w:pPr>
              <w:spacing w:after="240"/>
              <w:jc w:val="center"/>
            </w:pPr>
            <w:r w:rsidRPr="00D73ADA">
              <w:t>1,</w:t>
            </w:r>
            <w:r w:rsidR="003B0162" w:rsidRPr="00F861B8">
              <w:t>06</w:t>
            </w:r>
            <w:r w:rsidR="00291641">
              <w:t>1</w:t>
            </w:r>
            <w:r w:rsidR="003B0162" w:rsidRPr="00F861B8">
              <w:t>.</w:t>
            </w:r>
            <w:r w:rsidR="00291641">
              <w:t>008</w:t>
            </w:r>
          </w:p>
        </w:tc>
        <w:tc>
          <w:tcPr>
            <w:tcW w:w="1822" w:type="dxa"/>
          </w:tcPr>
          <w:p w:rsidR="004F3510" w:rsidRPr="00D73ADA" w:rsidRDefault="00931FB3">
            <w:pPr>
              <w:spacing w:after="240"/>
              <w:jc w:val="center"/>
            </w:pPr>
            <w:r w:rsidRPr="00D73ADA">
              <w:t>1,</w:t>
            </w:r>
            <w:r w:rsidR="00291641" w:rsidRPr="00D73ADA">
              <w:t>0</w:t>
            </w:r>
            <w:r w:rsidR="00291641">
              <w:t>50</w:t>
            </w:r>
            <w:r w:rsidRPr="00D73ADA">
              <w:t>.</w:t>
            </w:r>
            <w:r w:rsidR="00291641">
              <w:t>609</w:t>
            </w:r>
          </w:p>
        </w:tc>
      </w:tr>
    </w:tbl>
    <w:p w:rsidR="004F3510" w:rsidRPr="00F861B8" w:rsidRDefault="00C2176F" w:rsidP="004F3510">
      <w:pPr>
        <w:pStyle w:val="Heading3"/>
      </w:pPr>
      <w:r w:rsidRPr="00F861B8">
        <w:lastRenderedPageBreak/>
        <w:br/>
      </w:r>
      <w:r w:rsidR="004F3510" w:rsidRPr="00F861B8">
        <w:t>Prudence and Affordability</w:t>
      </w:r>
    </w:p>
    <w:p w:rsidR="004F3510" w:rsidRPr="00F861B8" w:rsidRDefault="004F3510" w:rsidP="00877552">
      <w:r w:rsidRPr="00F861B8">
        <w:t>CIPFA's Prudential Code for Capital Finance in Local Authorities states the following as a key indicator of prudence:</w:t>
      </w:r>
    </w:p>
    <w:p w:rsidR="00877552" w:rsidRPr="00F861B8" w:rsidRDefault="00877552" w:rsidP="00877552"/>
    <w:p w:rsidR="004F3510" w:rsidRPr="00F861B8" w:rsidRDefault="004F3510" w:rsidP="00877552">
      <w:pPr>
        <w:pStyle w:val="BodyTextIndent"/>
        <w:spacing w:after="0"/>
        <w:ind w:left="0"/>
      </w:pPr>
      <w:r w:rsidRPr="00F861B8">
        <w:t>"In order to ensure that, over the medium term, net borrowing will only be used for a capital purpose, the local authority should ensure that net external borrowing does not, except in the short term, exceed the total of capital financing requirement in the preceding year, plus the estimates of any additional capital financing requirement for the current and next two financial years."</w:t>
      </w:r>
    </w:p>
    <w:p w:rsidR="00877552" w:rsidRPr="00F861B8" w:rsidRDefault="00877552" w:rsidP="00877552">
      <w:pPr>
        <w:pStyle w:val="BodyTextIndent"/>
        <w:spacing w:after="0"/>
        <w:ind w:left="0"/>
      </w:pPr>
    </w:p>
    <w:p w:rsidR="004F3510" w:rsidRPr="00F861B8" w:rsidRDefault="004F3510" w:rsidP="00877552">
      <w:r w:rsidRPr="00F861B8">
        <w:t xml:space="preserve">The </w:t>
      </w:r>
      <w:r w:rsidR="00043461" w:rsidRPr="00F861B8">
        <w:t>county c</w:t>
      </w:r>
      <w:r w:rsidR="00B4481D" w:rsidRPr="00F861B8">
        <w:t>ouncil's financial plans are prepared on this basis and, indeed the policy on borrowing in advance of need explicitly references this statement as part of the decision making criteria.</w:t>
      </w:r>
    </w:p>
    <w:p w:rsidR="00877552" w:rsidRPr="00F861B8" w:rsidRDefault="00877552" w:rsidP="00877552"/>
    <w:p w:rsidR="00877552" w:rsidRPr="00F861B8" w:rsidRDefault="004F3510" w:rsidP="00877552">
      <w:r w:rsidRPr="00F861B8">
        <w:t xml:space="preserve">It is important to ensure that the plans for capital expenditure and borrowing are affordable in the long term.  To this purpose the code requires an indicator which estimates the ratio of financing costs to </w:t>
      </w:r>
      <w:r w:rsidR="007E527B" w:rsidRPr="00F861B8">
        <w:t xml:space="preserve">the </w:t>
      </w:r>
      <w:r w:rsidRPr="00F861B8">
        <w:t>net revenue stream.</w:t>
      </w:r>
    </w:p>
    <w:p w:rsidR="00877552" w:rsidRPr="00F861B8" w:rsidRDefault="00877552" w:rsidP="00877552"/>
    <w:p w:rsidR="004F3510" w:rsidRPr="00F861B8" w:rsidRDefault="004F3510" w:rsidP="00877552">
      <w:r w:rsidRPr="00F861B8">
        <w:t xml:space="preserve">The financing costs are the interest payable on borrowing, finance lease or other long term liabilities and the amount defined by statute which needs to be charged to revenue to reflect the repayment of the principal element of the </w:t>
      </w:r>
      <w:r w:rsidR="00043461" w:rsidRPr="00F861B8">
        <w:t>c</w:t>
      </w:r>
      <w:r w:rsidR="00F25AD0" w:rsidRPr="00F861B8">
        <w:t>ounty council</w:t>
      </w:r>
      <w:r w:rsidRPr="00F861B8">
        <w:t>’s borrowing.  Any additional payments in excess of the statutory amount or the cost of early repayment or rescheduling of debt would be included within the financing cost.  Financing costs are expressed net of investment income.</w:t>
      </w:r>
    </w:p>
    <w:p w:rsidR="004F3510" w:rsidRPr="00F861B8" w:rsidRDefault="004F3510" w:rsidP="00877552">
      <w:pPr>
        <w:pStyle w:val="BodyTextIndent"/>
        <w:spacing w:after="0"/>
        <w:ind w:left="0"/>
      </w:pPr>
      <w:r w:rsidRPr="00F861B8">
        <w:t>The net revenue stream is defined as the amount required to be funded from Government Grants and local taxpayers, in effect the budget requirement.</w:t>
      </w:r>
    </w:p>
    <w:p w:rsidR="004F3510" w:rsidRPr="00F861B8" w:rsidRDefault="004F3510" w:rsidP="00877552">
      <w:r w:rsidRPr="00F861B8">
        <w:t>Estimates of the ratio of financing costs to net revenue (or budget requirement) are as follows:</w:t>
      </w:r>
    </w:p>
    <w:p w:rsidR="00C2176F" w:rsidRPr="001143BB" w:rsidRDefault="00C2176F" w:rsidP="00877552">
      <w:pPr>
        <w:rPr>
          <w:highlight w:val="yellow"/>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2277"/>
        <w:gridCol w:w="2277"/>
        <w:gridCol w:w="2277"/>
      </w:tblGrid>
      <w:tr w:rsidR="003E72E2" w:rsidRPr="001143BB" w:rsidTr="003E72E2">
        <w:tc>
          <w:tcPr>
            <w:tcW w:w="2277" w:type="dxa"/>
          </w:tcPr>
          <w:p w:rsidR="003E72E2" w:rsidRPr="00F861B8" w:rsidRDefault="003E72E2">
            <w:pPr>
              <w:jc w:val="center"/>
              <w:rPr>
                <w:b/>
              </w:rPr>
            </w:pPr>
            <w:r w:rsidRPr="00E50DF8">
              <w:rPr>
                <w:b/>
              </w:rPr>
              <w:t>201</w:t>
            </w:r>
            <w:r w:rsidR="00291641">
              <w:rPr>
                <w:b/>
              </w:rPr>
              <w:t>5</w:t>
            </w:r>
            <w:r w:rsidRPr="00E50DF8">
              <w:rPr>
                <w:b/>
              </w:rPr>
              <w:t>/1</w:t>
            </w:r>
            <w:r w:rsidR="00291641">
              <w:rPr>
                <w:b/>
              </w:rPr>
              <w:t>6</w:t>
            </w:r>
          </w:p>
        </w:tc>
        <w:tc>
          <w:tcPr>
            <w:tcW w:w="2277" w:type="dxa"/>
          </w:tcPr>
          <w:p w:rsidR="003E72E2" w:rsidRPr="00F861B8" w:rsidRDefault="003E72E2">
            <w:pPr>
              <w:jc w:val="center"/>
              <w:rPr>
                <w:b/>
              </w:rPr>
            </w:pPr>
            <w:r w:rsidRPr="00E50DF8">
              <w:rPr>
                <w:b/>
              </w:rPr>
              <w:t>201</w:t>
            </w:r>
            <w:r w:rsidR="00291641">
              <w:rPr>
                <w:b/>
              </w:rPr>
              <w:t>6</w:t>
            </w:r>
            <w:r w:rsidRPr="00E50DF8">
              <w:rPr>
                <w:b/>
              </w:rPr>
              <w:t>/1</w:t>
            </w:r>
            <w:r w:rsidR="00291641">
              <w:rPr>
                <w:b/>
              </w:rPr>
              <w:t>7</w:t>
            </w:r>
          </w:p>
        </w:tc>
        <w:tc>
          <w:tcPr>
            <w:tcW w:w="2277" w:type="dxa"/>
          </w:tcPr>
          <w:p w:rsidR="003E72E2" w:rsidRPr="00F861B8" w:rsidRDefault="003E72E2">
            <w:pPr>
              <w:jc w:val="center"/>
              <w:rPr>
                <w:b/>
              </w:rPr>
            </w:pPr>
            <w:r w:rsidRPr="00E50DF8">
              <w:rPr>
                <w:b/>
              </w:rPr>
              <w:t>201</w:t>
            </w:r>
            <w:r w:rsidR="00291641">
              <w:rPr>
                <w:b/>
              </w:rPr>
              <w:t>7</w:t>
            </w:r>
            <w:r w:rsidRPr="00E50DF8">
              <w:rPr>
                <w:b/>
              </w:rPr>
              <w:t>/1</w:t>
            </w:r>
            <w:r w:rsidR="00291641">
              <w:rPr>
                <w:b/>
              </w:rPr>
              <w:t>8</w:t>
            </w:r>
          </w:p>
        </w:tc>
        <w:tc>
          <w:tcPr>
            <w:tcW w:w="2277" w:type="dxa"/>
          </w:tcPr>
          <w:p w:rsidR="003E72E2" w:rsidRPr="00F861B8" w:rsidRDefault="003E72E2">
            <w:pPr>
              <w:jc w:val="center"/>
              <w:rPr>
                <w:b/>
              </w:rPr>
            </w:pPr>
            <w:r w:rsidRPr="00E50DF8">
              <w:rPr>
                <w:b/>
              </w:rPr>
              <w:t>201</w:t>
            </w:r>
            <w:r w:rsidR="00291641">
              <w:rPr>
                <w:b/>
              </w:rPr>
              <w:t>8</w:t>
            </w:r>
            <w:r w:rsidRPr="00E50DF8">
              <w:rPr>
                <w:b/>
              </w:rPr>
              <w:t>/1</w:t>
            </w:r>
            <w:r w:rsidR="00291641">
              <w:rPr>
                <w:b/>
              </w:rPr>
              <w:t>9</w:t>
            </w:r>
          </w:p>
        </w:tc>
      </w:tr>
      <w:tr w:rsidR="004F3510" w:rsidRPr="001143BB" w:rsidTr="003E72E2">
        <w:tc>
          <w:tcPr>
            <w:tcW w:w="2277" w:type="dxa"/>
          </w:tcPr>
          <w:p w:rsidR="004F3510" w:rsidRPr="00F861B8" w:rsidRDefault="004F3510" w:rsidP="004F3510">
            <w:pPr>
              <w:jc w:val="center"/>
              <w:rPr>
                <w:b/>
              </w:rPr>
            </w:pPr>
            <w:r w:rsidRPr="00F861B8">
              <w:rPr>
                <w:b/>
              </w:rPr>
              <w:t>Estimate</w:t>
            </w:r>
          </w:p>
        </w:tc>
        <w:tc>
          <w:tcPr>
            <w:tcW w:w="2277" w:type="dxa"/>
          </w:tcPr>
          <w:p w:rsidR="004F3510" w:rsidRPr="00F861B8" w:rsidRDefault="004F3510" w:rsidP="004F3510">
            <w:pPr>
              <w:jc w:val="center"/>
              <w:rPr>
                <w:b/>
              </w:rPr>
            </w:pPr>
            <w:r w:rsidRPr="00F861B8">
              <w:rPr>
                <w:b/>
              </w:rPr>
              <w:t>Estimate</w:t>
            </w:r>
          </w:p>
        </w:tc>
        <w:tc>
          <w:tcPr>
            <w:tcW w:w="2277" w:type="dxa"/>
          </w:tcPr>
          <w:p w:rsidR="004F3510" w:rsidRPr="00F861B8" w:rsidRDefault="004F3510" w:rsidP="004F3510">
            <w:pPr>
              <w:jc w:val="center"/>
              <w:rPr>
                <w:b/>
              </w:rPr>
            </w:pPr>
            <w:r w:rsidRPr="00F861B8">
              <w:rPr>
                <w:b/>
              </w:rPr>
              <w:t>Estimate</w:t>
            </w:r>
          </w:p>
        </w:tc>
        <w:tc>
          <w:tcPr>
            <w:tcW w:w="2277" w:type="dxa"/>
          </w:tcPr>
          <w:p w:rsidR="004F3510" w:rsidRPr="00F861B8" w:rsidRDefault="004F3510" w:rsidP="004F3510">
            <w:pPr>
              <w:jc w:val="center"/>
              <w:rPr>
                <w:b/>
              </w:rPr>
            </w:pPr>
            <w:r w:rsidRPr="00F861B8">
              <w:rPr>
                <w:b/>
              </w:rPr>
              <w:t>Estimate</w:t>
            </w:r>
          </w:p>
        </w:tc>
      </w:tr>
      <w:tr w:rsidR="004F3510" w:rsidRPr="001143BB" w:rsidTr="003E72E2">
        <w:tc>
          <w:tcPr>
            <w:tcW w:w="2277" w:type="dxa"/>
          </w:tcPr>
          <w:p w:rsidR="004F3510" w:rsidRPr="00F861B8" w:rsidRDefault="004F3510" w:rsidP="004F3510">
            <w:pPr>
              <w:spacing w:after="120"/>
              <w:jc w:val="center"/>
              <w:rPr>
                <w:b/>
              </w:rPr>
            </w:pPr>
            <w:r w:rsidRPr="00F861B8">
              <w:rPr>
                <w:b/>
              </w:rPr>
              <w:t>%</w:t>
            </w:r>
          </w:p>
        </w:tc>
        <w:tc>
          <w:tcPr>
            <w:tcW w:w="2277" w:type="dxa"/>
          </w:tcPr>
          <w:p w:rsidR="004F3510" w:rsidRPr="00F861B8" w:rsidRDefault="004F3510" w:rsidP="004F3510">
            <w:pPr>
              <w:spacing w:after="120"/>
              <w:jc w:val="center"/>
              <w:rPr>
                <w:b/>
              </w:rPr>
            </w:pPr>
            <w:r w:rsidRPr="00F861B8">
              <w:rPr>
                <w:b/>
              </w:rPr>
              <w:t>%</w:t>
            </w:r>
          </w:p>
        </w:tc>
        <w:tc>
          <w:tcPr>
            <w:tcW w:w="2277" w:type="dxa"/>
          </w:tcPr>
          <w:p w:rsidR="004F3510" w:rsidRPr="00F861B8" w:rsidRDefault="004F3510" w:rsidP="004F3510">
            <w:pPr>
              <w:spacing w:after="120"/>
              <w:jc w:val="center"/>
              <w:rPr>
                <w:b/>
              </w:rPr>
            </w:pPr>
            <w:r w:rsidRPr="00F861B8">
              <w:rPr>
                <w:b/>
              </w:rPr>
              <w:t>%</w:t>
            </w:r>
          </w:p>
        </w:tc>
        <w:tc>
          <w:tcPr>
            <w:tcW w:w="2277" w:type="dxa"/>
          </w:tcPr>
          <w:p w:rsidR="004F3510" w:rsidRPr="00F861B8" w:rsidRDefault="004F3510" w:rsidP="004F3510">
            <w:pPr>
              <w:spacing w:after="120"/>
              <w:jc w:val="center"/>
              <w:rPr>
                <w:b/>
              </w:rPr>
            </w:pPr>
            <w:r w:rsidRPr="00F861B8">
              <w:rPr>
                <w:b/>
              </w:rPr>
              <w:t>%</w:t>
            </w:r>
          </w:p>
        </w:tc>
      </w:tr>
      <w:tr w:rsidR="004F3510" w:rsidRPr="001143BB" w:rsidTr="003E72E2">
        <w:tc>
          <w:tcPr>
            <w:tcW w:w="2277" w:type="dxa"/>
          </w:tcPr>
          <w:p w:rsidR="004F3510" w:rsidRPr="00F861B8" w:rsidRDefault="00291641" w:rsidP="004F3510">
            <w:pPr>
              <w:spacing w:after="240"/>
              <w:jc w:val="center"/>
            </w:pPr>
            <w:r>
              <w:t>3.22</w:t>
            </w:r>
          </w:p>
        </w:tc>
        <w:tc>
          <w:tcPr>
            <w:tcW w:w="2277" w:type="dxa"/>
          </w:tcPr>
          <w:p w:rsidR="004F3510" w:rsidRPr="00F861B8" w:rsidRDefault="00291641" w:rsidP="00C6577B">
            <w:pPr>
              <w:spacing w:after="240"/>
              <w:jc w:val="center"/>
            </w:pPr>
            <w:r>
              <w:t>4.69</w:t>
            </w:r>
          </w:p>
        </w:tc>
        <w:tc>
          <w:tcPr>
            <w:tcW w:w="2277" w:type="dxa"/>
          </w:tcPr>
          <w:p w:rsidR="004F3510" w:rsidRPr="00F861B8" w:rsidRDefault="00291641" w:rsidP="00C6577B">
            <w:pPr>
              <w:spacing w:after="240"/>
              <w:jc w:val="center"/>
            </w:pPr>
            <w:r>
              <w:t>5.50</w:t>
            </w:r>
          </w:p>
        </w:tc>
        <w:tc>
          <w:tcPr>
            <w:tcW w:w="2277" w:type="dxa"/>
          </w:tcPr>
          <w:p w:rsidR="004F3510" w:rsidRPr="00F861B8" w:rsidRDefault="00291641" w:rsidP="00C6577B">
            <w:pPr>
              <w:spacing w:after="240"/>
              <w:jc w:val="center"/>
            </w:pPr>
            <w:r>
              <w:t>5.76</w:t>
            </w:r>
          </w:p>
        </w:tc>
      </w:tr>
    </w:tbl>
    <w:p w:rsidR="004F3510" w:rsidRPr="001143BB" w:rsidRDefault="004F3510" w:rsidP="00877552">
      <w:pPr>
        <w:rPr>
          <w:highlight w:val="yellow"/>
        </w:rPr>
      </w:pPr>
    </w:p>
    <w:p w:rsidR="004F3510" w:rsidRPr="00D635B5" w:rsidRDefault="00595CFD" w:rsidP="004F3510">
      <w:pPr>
        <w:pStyle w:val="BodyTextIndent"/>
        <w:spacing w:after="240"/>
        <w:ind w:left="0"/>
        <w:rPr>
          <w:color w:val="000000"/>
        </w:rPr>
      </w:pPr>
      <w:r w:rsidRPr="00F861B8">
        <w:rPr>
          <w:color w:val="000000"/>
        </w:rPr>
        <w:t>The Capital Programme is still being considered by the County Council and is not yet finalised. The indicators have been calculated on the assumption that any new starts will be funded from either grants or revenue resources. Including the cost of financing the borrowing already included in the Programme to meet current commitments it is estimated that the Council Tax impact of the whole Programme will be:</w:t>
      </w:r>
    </w:p>
    <w:tbl>
      <w:tblPr>
        <w:tblW w:w="6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2277"/>
        <w:gridCol w:w="2277"/>
      </w:tblGrid>
      <w:tr w:rsidR="005841CB" w:rsidRPr="001143BB" w:rsidTr="00D86663">
        <w:tc>
          <w:tcPr>
            <w:tcW w:w="2277" w:type="dxa"/>
          </w:tcPr>
          <w:p w:rsidR="005841CB" w:rsidRPr="00F861B8" w:rsidRDefault="005841CB">
            <w:pPr>
              <w:jc w:val="center"/>
              <w:rPr>
                <w:b/>
              </w:rPr>
            </w:pPr>
            <w:r w:rsidRPr="00E50DF8">
              <w:rPr>
                <w:b/>
              </w:rPr>
              <w:t>201</w:t>
            </w:r>
            <w:r>
              <w:rPr>
                <w:b/>
              </w:rPr>
              <w:t>6</w:t>
            </w:r>
            <w:r w:rsidRPr="00E50DF8">
              <w:rPr>
                <w:b/>
              </w:rPr>
              <w:t>/1</w:t>
            </w:r>
            <w:r>
              <w:rPr>
                <w:b/>
              </w:rPr>
              <w:t>7</w:t>
            </w:r>
          </w:p>
        </w:tc>
        <w:tc>
          <w:tcPr>
            <w:tcW w:w="2277" w:type="dxa"/>
          </w:tcPr>
          <w:p w:rsidR="005841CB" w:rsidRPr="00F861B8" w:rsidRDefault="005841CB">
            <w:pPr>
              <w:jc w:val="center"/>
              <w:rPr>
                <w:b/>
              </w:rPr>
            </w:pPr>
            <w:r w:rsidRPr="00E50DF8">
              <w:rPr>
                <w:b/>
              </w:rPr>
              <w:t>201</w:t>
            </w:r>
            <w:r>
              <w:rPr>
                <w:b/>
              </w:rPr>
              <w:t>7</w:t>
            </w:r>
            <w:r w:rsidRPr="00E50DF8">
              <w:rPr>
                <w:b/>
              </w:rPr>
              <w:t>/1</w:t>
            </w:r>
            <w:r>
              <w:rPr>
                <w:b/>
              </w:rPr>
              <w:t>8</w:t>
            </w:r>
          </w:p>
        </w:tc>
        <w:tc>
          <w:tcPr>
            <w:tcW w:w="2277" w:type="dxa"/>
          </w:tcPr>
          <w:p w:rsidR="005841CB" w:rsidRPr="00F861B8" w:rsidRDefault="005841CB">
            <w:pPr>
              <w:jc w:val="center"/>
              <w:rPr>
                <w:b/>
              </w:rPr>
            </w:pPr>
            <w:r w:rsidRPr="00E50DF8">
              <w:rPr>
                <w:b/>
              </w:rPr>
              <w:t>201</w:t>
            </w:r>
            <w:r>
              <w:rPr>
                <w:b/>
              </w:rPr>
              <w:t>8</w:t>
            </w:r>
            <w:r w:rsidRPr="00E50DF8">
              <w:rPr>
                <w:b/>
              </w:rPr>
              <w:t>/1</w:t>
            </w:r>
            <w:r>
              <w:rPr>
                <w:b/>
              </w:rPr>
              <w:t>9</w:t>
            </w:r>
          </w:p>
        </w:tc>
      </w:tr>
      <w:tr w:rsidR="005841CB" w:rsidRPr="001143BB" w:rsidTr="00D86663">
        <w:tc>
          <w:tcPr>
            <w:tcW w:w="2277" w:type="dxa"/>
          </w:tcPr>
          <w:p w:rsidR="005841CB" w:rsidRPr="00F861B8" w:rsidRDefault="005841CB" w:rsidP="008C3C8B">
            <w:pPr>
              <w:jc w:val="center"/>
              <w:rPr>
                <w:b/>
              </w:rPr>
            </w:pPr>
            <w:r w:rsidRPr="00F861B8">
              <w:rPr>
                <w:b/>
              </w:rPr>
              <w:t>Estimate</w:t>
            </w:r>
          </w:p>
        </w:tc>
        <w:tc>
          <w:tcPr>
            <w:tcW w:w="2277" w:type="dxa"/>
          </w:tcPr>
          <w:p w:rsidR="005841CB" w:rsidRPr="00F861B8" w:rsidRDefault="005841CB" w:rsidP="008C3C8B">
            <w:pPr>
              <w:jc w:val="center"/>
              <w:rPr>
                <w:b/>
              </w:rPr>
            </w:pPr>
            <w:r w:rsidRPr="00F861B8">
              <w:rPr>
                <w:b/>
              </w:rPr>
              <w:t>Estimate</w:t>
            </w:r>
          </w:p>
        </w:tc>
        <w:tc>
          <w:tcPr>
            <w:tcW w:w="2277" w:type="dxa"/>
          </w:tcPr>
          <w:p w:rsidR="005841CB" w:rsidRPr="00F861B8" w:rsidRDefault="005841CB" w:rsidP="008C3C8B">
            <w:pPr>
              <w:jc w:val="center"/>
              <w:rPr>
                <w:b/>
              </w:rPr>
            </w:pPr>
            <w:r w:rsidRPr="00F861B8">
              <w:rPr>
                <w:b/>
              </w:rPr>
              <w:t>Estimate</w:t>
            </w:r>
          </w:p>
        </w:tc>
      </w:tr>
      <w:tr w:rsidR="005841CB" w:rsidRPr="001143BB" w:rsidTr="00D86663">
        <w:tc>
          <w:tcPr>
            <w:tcW w:w="2277" w:type="dxa"/>
          </w:tcPr>
          <w:p w:rsidR="005841CB" w:rsidRPr="00F861B8" w:rsidRDefault="005841CB" w:rsidP="008C3C8B">
            <w:pPr>
              <w:spacing w:after="120"/>
              <w:jc w:val="center"/>
              <w:rPr>
                <w:b/>
              </w:rPr>
            </w:pPr>
            <w:r w:rsidRPr="00F861B8">
              <w:rPr>
                <w:b/>
              </w:rPr>
              <w:t>£</w:t>
            </w:r>
          </w:p>
        </w:tc>
        <w:tc>
          <w:tcPr>
            <w:tcW w:w="2277" w:type="dxa"/>
          </w:tcPr>
          <w:p w:rsidR="005841CB" w:rsidRPr="00F861B8" w:rsidRDefault="005841CB" w:rsidP="008C3C8B">
            <w:pPr>
              <w:spacing w:after="120"/>
              <w:jc w:val="center"/>
              <w:rPr>
                <w:b/>
              </w:rPr>
            </w:pPr>
            <w:r w:rsidRPr="00F861B8">
              <w:rPr>
                <w:b/>
              </w:rPr>
              <w:t>£</w:t>
            </w:r>
          </w:p>
        </w:tc>
        <w:tc>
          <w:tcPr>
            <w:tcW w:w="2277" w:type="dxa"/>
          </w:tcPr>
          <w:p w:rsidR="005841CB" w:rsidRPr="00F861B8" w:rsidRDefault="005841CB" w:rsidP="008C3C8B">
            <w:pPr>
              <w:spacing w:after="120"/>
              <w:jc w:val="center"/>
              <w:rPr>
                <w:b/>
              </w:rPr>
            </w:pPr>
            <w:r w:rsidRPr="00F861B8">
              <w:rPr>
                <w:b/>
              </w:rPr>
              <w:t>£</w:t>
            </w:r>
          </w:p>
        </w:tc>
      </w:tr>
      <w:tr w:rsidR="005841CB" w:rsidRPr="001143BB" w:rsidTr="00D86663">
        <w:tc>
          <w:tcPr>
            <w:tcW w:w="2277" w:type="dxa"/>
          </w:tcPr>
          <w:p w:rsidR="005841CB" w:rsidRPr="00F861B8" w:rsidRDefault="005841CB" w:rsidP="008C3C8B">
            <w:pPr>
              <w:spacing w:after="240"/>
              <w:jc w:val="center"/>
            </w:pPr>
            <w:r>
              <w:t>17.12</w:t>
            </w:r>
          </w:p>
        </w:tc>
        <w:tc>
          <w:tcPr>
            <w:tcW w:w="2277" w:type="dxa"/>
          </w:tcPr>
          <w:p w:rsidR="005841CB" w:rsidRPr="00F861B8" w:rsidRDefault="005841CB" w:rsidP="008C3C8B">
            <w:pPr>
              <w:spacing w:after="240"/>
              <w:jc w:val="center"/>
            </w:pPr>
            <w:r>
              <w:t>20.08</w:t>
            </w:r>
          </w:p>
        </w:tc>
        <w:tc>
          <w:tcPr>
            <w:tcW w:w="2277" w:type="dxa"/>
          </w:tcPr>
          <w:p w:rsidR="005841CB" w:rsidRPr="00F861B8" w:rsidRDefault="005841CB" w:rsidP="008C3C8B">
            <w:pPr>
              <w:spacing w:after="240"/>
              <w:jc w:val="center"/>
            </w:pPr>
            <w:r>
              <w:t>6.26</w:t>
            </w:r>
          </w:p>
        </w:tc>
      </w:tr>
    </w:tbl>
    <w:p w:rsidR="00ED58E1" w:rsidRDefault="00ED58E1" w:rsidP="00392C2F">
      <w:pPr>
        <w:pStyle w:val="BodyTextIndent"/>
        <w:spacing w:after="0"/>
        <w:ind w:left="0"/>
        <w:rPr>
          <w:highlight w:val="yellow"/>
        </w:rPr>
      </w:pPr>
    </w:p>
    <w:p w:rsidR="004F3510" w:rsidRDefault="004F3510" w:rsidP="00392C2F">
      <w:pPr>
        <w:pStyle w:val="BodyTextIndent"/>
        <w:spacing w:after="0"/>
        <w:ind w:left="0"/>
      </w:pPr>
      <w:r w:rsidRPr="00F861B8">
        <w:lastRenderedPageBreak/>
        <w:t xml:space="preserve">It is important to note that the figures do not represent annual increases in Council Tax.  Both the </w:t>
      </w:r>
      <w:r w:rsidR="00A2024B" w:rsidRPr="00F861B8">
        <w:t>2014</w:t>
      </w:r>
      <w:r w:rsidRPr="00F861B8">
        <w:t>/</w:t>
      </w:r>
      <w:r w:rsidR="00A2024B" w:rsidRPr="00F861B8">
        <w:t xml:space="preserve">15 </w:t>
      </w:r>
      <w:r w:rsidRPr="00F861B8">
        <w:t xml:space="preserve">and </w:t>
      </w:r>
      <w:r w:rsidR="00A2024B" w:rsidRPr="00F861B8">
        <w:t>2015</w:t>
      </w:r>
      <w:r w:rsidRPr="00F861B8">
        <w:t>/</w:t>
      </w:r>
      <w:r w:rsidR="00A2024B" w:rsidRPr="00F861B8">
        <w:t xml:space="preserve">16 </w:t>
      </w:r>
      <w:r w:rsidRPr="00F861B8">
        <w:t xml:space="preserve">figures will include the full year effects of decisions taken in </w:t>
      </w:r>
      <w:r w:rsidR="00A2024B" w:rsidRPr="00F861B8">
        <w:t>2013</w:t>
      </w:r>
      <w:r w:rsidRPr="00F861B8">
        <w:t>/</w:t>
      </w:r>
      <w:r w:rsidR="00A2024B" w:rsidRPr="00F861B8">
        <w:t>14</w:t>
      </w:r>
      <w:r w:rsidRPr="00F861B8">
        <w:t>.  Similarly, all three years include the effect of financing capital expenditure from revenue or internal loans.  Provision for these already exists within the revenue budget.</w:t>
      </w:r>
      <w:r w:rsidR="00275379" w:rsidRPr="00F861B8">
        <w:t xml:space="preserve"> The Prudential Code requires the estimated revenue impact of capital investment decisions in Band D Council Tax terms to be calculated.  </w:t>
      </w:r>
      <w:r w:rsidRPr="00F861B8">
        <w:t xml:space="preserve">  The estimated effect in Band D Council Tax terms of the net cost of the borrowing is:</w:t>
      </w:r>
    </w:p>
    <w:p w:rsidR="00595CFD" w:rsidRPr="00F861B8" w:rsidRDefault="00595CFD" w:rsidP="00392C2F">
      <w:pPr>
        <w:pStyle w:val="BodyTextIndent"/>
        <w:spacing w:after="0"/>
        <w:ind w:left="0"/>
      </w:pPr>
    </w:p>
    <w:tbl>
      <w:tblPr>
        <w:tblW w:w="0" w:type="auto"/>
        <w:jc w:val="center"/>
        <w:tblLayout w:type="fixed"/>
        <w:tblLook w:val="0000" w:firstRow="0" w:lastRow="0" w:firstColumn="0" w:lastColumn="0" w:noHBand="0" w:noVBand="0"/>
      </w:tblPr>
      <w:tblGrid>
        <w:gridCol w:w="2346"/>
        <w:gridCol w:w="2346"/>
      </w:tblGrid>
      <w:tr w:rsidR="004F3510" w:rsidRPr="001143BB" w:rsidTr="004F3510">
        <w:trPr>
          <w:jc w:val="center"/>
        </w:trPr>
        <w:tc>
          <w:tcPr>
            <w:tcW w:w="2346" w:type="dxa"/>
          </w:tcPr>
          <w:p w:rsidR="004F3510" w:rsidRPr="001143BB" w:rsidRDefault="004F3510" w:rsidP="004F3510">
            <w:pPr>
              <w:spacing w:after="120"/>
              <w:jc w:val="center"/>
              <w:rPr>
                <w:b/>
                <w:highlight w:val="yellow"/>
              </w:rPr>
            </w:pPr>
          </w:p>
        </w:tc>
        <w:tc>
          <w:tcPr>
            <w:tcW w:w="2346" w:type="dxa"/>
          </w:tcPr>
          <w:p w:rsidR="004F3510" w:rsidRPr="00F861B8" w:rsidRDefault="004F3510" w:rsidP="004F3510">
            <w:pPr>
              <w:spacing w:after="120"/>
              <w:jc w:val="center"/>
              <w:rPr>
                <w:b/>
              </w:rPr>
            </w:pPr>
            <w:r w:rsidRPr="00F861B8">
              <w:rPr>
                <w:b/>
              </w:rPr>
              <w:t>£</w:t>
            </w:r>
          </w:p>
        </w:tc>
      </w:tr>
      <w:tr w:rsidR="004F3510" w:rsidRPr="001143BB" w:rsidTr="004F3510">
        <w:trPr>
          <w:jc w:val="center"/>
        </w:trPr>
        <w:tc>
          <w:tcPr>
            <w:tcW w:w="2346" w:type="dxa"/>
          </w:tcPr>
          <w:p w:rsidR="004F3510" w:rsidRPr="00F861B8" w:rsidRDefault="00A2024B" w:rsidP="00A2024B">
            <w:pPr>
              <w:spacing w:after="120"/>
            </w:pPr>
            <w:r w:rsidRPr="00F861B8">
              <w:t>201</w:t>
            </w:r>
            <w:r w:rsidR="00E50DF8">
              <w:t>5</w:t>
            </w:r>
            <w:r w:rsidR="004F3510" w:rsidRPr="00F861B8">
              <w:t>/</w:t>
            </w:r>
            <w:r w:rsidRPr="00F861B8">
              <w:t>1</w:t>
            </w:r>
            <w:r w:rsidR="00E50DF8">
              <w:t>6</w:t>
            </w:r>
          </w:p>
        </w:tc>
        <w:tc>
          <w:tcPr>
            <w:tcW w:w="2346" w:type="dxa"/>
          </w:tcPr>
          <w:p w:rsidR="004F3510" w:rsidRPr="00F861B8" w:rsidRDefault="005841CB" w:rsidP="004F3510">
            <w:pPr>
              <w:spacing w:after="120"/>
              <w:jc w:val="center"/>
            </w:pPr>
            <w:r>
              <w:t>5.48</w:t>
            </w:r>
          </w:p>
        </w:tc>
      </w:tr>
      <w:tr w:rsidR="004F3510" w:rsidRPr="001143BB" w:rsidTr="004F3510">
        <w:trPr>
          <w:jc w:val="center"/>
        </w:trPr>
        <w:tc>
          <w:tcPr>
            <w:tcW w:w="2346" w:type="dxa"/>
          </w:tcPr>
          <w:p w:rsidR="004F3510" w:rsidRPr="00F861B8" w:rsidRDefault="00A2024B" w:rsidP="004F3510">
            <w:pPr>
              <w:spacing w:after="120"/>
            </w:pPr>
            <w:r w:rsidRPr="00F861B8">
              <w:t>201</w:t>
            </w:r>
            <w:r w:rsidR="00E50DF8">
              <w:t>6</w:t>
            </w:r>
            <w:r w:rsidR="004F3510" w:rsidRPr="00F861B8">
              <w:t>/</w:t>
            </w:r>
            <w:r w:rsidRPr="00F861B8">
              <w:t>1</w:t>
            </w:r>
            <w:r w:rsidR="00E50DF8">
              <w:t>7</w:t>
            </w:r>
          </w:p>
          <w:p w:rsidR="004F3510" w:rsidRPr="00F861B8" w:rsidRDefault="00A2024B" w:rsidP="00A2024B">
            <w:pPr>
              <w:spacing w:after="120"/>
            </w:pPr>
            <w:r w:rsidRPr="00F861B8">
              <w:t>201</w:t>
            </w:r>
            <w:r w:rsidR="00E50DF8">
              <w:t>7</w:t>
            </w:r>
            <w:r w:rsidR="004F3510" w:rsidRPr="00F861B8">
              <w:t>/</w:t>
            </w:r>
            <w:r w:rsidRPr="00F861B8">
              <w:t>1</w:t>
            </w:r>
            <w:r w:rsidR="00E50DF8">
              <w:t>8</w:t>
            </w:r>
          </w:p>
        </w:tc>
        <w:tc>
          <w:tcPr>
            <w:tcW w:w="2346" w:type="dxa"/>
          </w:tcPr>
          <w:p w:rsidR="005841CB" w:rsidRDefault="005841CB" w:rsidP="004F3510">
            <w:pPr>
              <w:spacing w:after="120"/>
              <w:jc w:val="center"/>
            </w:pPr>
            <w:r>
              <w:t>7.01</w:t>
            </w:r>
          </w:p>
          <w:p w:rsidR="004F3510" w:rsidRPr="00F861B8" w:rsidRDefault="005841CB" w:rsidP="004F3510">
            <w:pPr>
              <w:spacing w:after="120"/>
              <w:jc w:val="center"/>
            </w:pPr>
            <w:r>
              <w:t>6.26</w:t>
            </w:r>
          </w:p>
        </w:tc>
      </w:tr>
      <w:tr w:rsidR="004F3510" w:rsidRPr="001143BB" w:rsidTr="004F3510">
        <w:trPr>
          <w:jc w:val="center"/>
        </w:trPr>
        <w:tc>
          <w:tcPr>
            <w:tcW w:w="2346" w:type="dxa"/>
          </w:tcPr>
          <w:p w:rsidR="004F3510" w:rsidRPr="001143BB" w:rsidRDefault="004F3510" w:rsidP="004F3510">
            <w:pPr>
              <w:spacing w:after="120"/>
              <w:rPr>
                <w:highlight w:val="yellow"/>
              </w:rPr>
            </w:pPr>
          </w:p>
        </w:tc>
        <w:tc>
          <w:tcPr>
            <w:tcW w:w="2346" w:type="dxa"/>
          </w:tcPr>
          <w:p w:rsidR="004F3510" w:rsidRPr="001143BB" w:rsidRDefault="004F3510" w:rsidP="004F3510">
            <w:pPr>
              <w:spacing w:after="120"/>
              <w:jc w:val="center"/>
              <w:rPr>
                <w:highlight w:val="yellow"/>
              </w:rPr>
            </w:pPr>
          </w:p>
        </w:tc>
      </w:tr>
    </w:tbl>
    <w:p w:rsidR="004F3510" w:rsidRPr="00D635B5" w:rsidRDefault="004F3510" w:rsidP="00D635B5">
      <w:pPr>
        <w:rPr>
          <w:highlight w:val="yellow"/>
        </w:rPr>
      </w:pPr>
      <w:r w:rsidRPr="005A1A62">
        <w:t>External Debt</w:t>
      </w:r>
    </w:p>
    <w:p w:rsidR="004F3510" w:rsidRPr="005A1A62" w:rsidRDefault="004F3510" w:rsidP="00D635B5">
      <w:pPr>
        <w:jc w:val="both"/>
      </w:pPr>
      <w:r w:rsidRPr="005A1A62">
        <w:t xml:space="preserve">The </w:t>
      </w:r>
      <w:r w:rsidR="00043461">
        <w:t>c</w:t>
      </w:r>
      <w:r w:rsidR="00F25AD0">
        <w:t>ounty council</w:t>
      </w:r>
      <w:r w:rsidRPr="005A1A62">
        <w:t xml:space="preserve"> is required to approve an “authorised limit” and an “operational boundary” for external debt.  The limits proposed are consistent with the proposals for capital investment and with the approved treasury management policy statement and practices.  </w:t>
      </w:r>
      <w:r w:rsidR="00451200" w:rsidRPr="005A1A62">
        <w:t>The limits also include provision for the</w:t>
      </w:r>
      <w:r w:rsidR="004B2FE8" w:rsidRPr="005A1A62">
        <w:t xml:space="preserve"> £150m cap on the</w:t>
      </w:r>
      <w:r w:rsidR="00451200" w:rsidRPr="005A1A62">
        <w:t xml:space="preserve"> shared investment scheme</w:t>
      </w:r>
      <w:r w:rsidR="004B2FE8" w:rsidRPr="005A1A62">
        <w:t xml:space="preserve">. </w:t>
      </w:r>
      <w:r w:rsidRPr="005A1A62">
        <w:t>The indicators are split between borrowing and other long term liabilities, such as PFI projects</w:t>
      </w:r>
      <w:r w:rsidR="008E41F9" w:rsidRPr="005A1A62">
        <w:t>.</w:t>
      </w:r>
      <w:r w:rsidRPr="005A1A62">
        <w:t xml:space="preserve">  It is, therefore, proposed to set a limit for the </w:t>
      </w:r>
      <w:r w:rsidR="00CF5E98">
        <w:t>section 151</w:t>
      </w:r>
      <w:r w:rsidRPr="005A1A62">
        <w:t xml:space="preserve"> to work within.</w:t>
      </w:r>
    </w:p>
    <w:p w:rsidR="00877552" w:rsidRPr="005A1A62" w:rsidRDefault="00877552" w:rsidP="00877552"/>
    <w:p w:rsidR="004F3510" w:rsidRPr="005A1A62" w:rsidRDefault="004F3510" w:rsidP="00D635B5">
      <w:pPr>
        <w:jc w:val="both"/>
      </w:pPr>
      <w:r w:rsidRPr="005A1A62">
        <w:t xml:space="preserve">The authorised limit is a prudent estimate of external debt, but allows sufficient headroom for unusual cash flow movements.  After taking into account the capital plans and estimates of </w:t>
      </w:r>
      <w:r w:rsidR="00221A79" w:rsidRPr="005A1A62">
        <w:t>cash flow</w:t>
      </w:r>
      <w:r w:rsidRPr="005A1A62">
        <w:t xml:space="preserve"> and its risks, the proposed authorised limits for external debt are:</w:t>
      </w:r>
    </w:p>
    <w:p w:rsidR="00877552" w:rsidRPr="005A1A62" w:rsidRDefault="00877552" w:rsidP="00877552"/>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1553"/>
        <w:gridCol w:w="1552"/>
        <w:gridCol w:w="1553"/>
      </w:tblGrid>
      <w:tr w:rsidR="00E50DF8" w:rsidRPr="005A1A62" w:rsidTr="00E50DF8">
        <w:tc>
          <w:tcPr>
            <w:tcW w:w="2988" w:type="dxa"/>
          </w:tcPr>
          <w:p w:rsidR="00E50DF8" w:rsidRPr="005A1A62" w:rsidRDefault="00E50DF8" w:rsidP="00E50DF8"/>
        </w:tc>
        <w:tc>
          <w:tcPr>
            <w:tcW w:w="1553" w:type="dxa"/>
          </w:tcPr>
          <w:p w:rsidR="00E50DF8" w:rsidRPr="00D86663" w:rsidRDefault="00E50DF8" w:rsidP="00E50DF8">
            <w:pPr>
              <w:jc w:val="center"/>
            </w:pPr>
            <w:r w:rsidRPr="00D86663">
              <w:t>201</w:t>
            </w:r>
            <w:r w:rsidR="005841CB">
              <w:t>5</w:t>
            </w:r>
            <w:r w:rsidRPr="00D86663">
              <w:t>/1</w:t>
            </w:r>
            <w:r w:rsidR="005841CB">
              <w:t>6</w:t>
            </w:r>
          </w:p>
          <w:p w:rsidR="00E50DF8" w:rsidRPr="00D86663" w:rsidRDefault="00E50DF8" w:rsidP="00E50DF8">
            <w:pPr>
              <w:jc w:val="center"/>
            </w:pPr>
            <w:r w:rsidRPr="00D86663">
              <w:t>Revised</w:t>
            </w:r>
          </w:p>
        </w:tc>
        <w:tc>
          <w:tcPr>
            <w:tcW w:w="1553" w:type="dxa"/>
          </w:tcPr>
          <w:p w:rsidR="00E50DF8" w:rsidRPr="005A1A62" w:rsidRDefault="00E50DF8">
            <w:pPr>
              <w:jc w:val="center"/>
              <w:rPr>
                <w:b/>
              </w:rPr>
            </w:pPr>
            <w:r w:rsidRPr="005A1A62">
              <w:rPr>
                <w:b/>
              </w:rPr>
              <w:t>201</w:t>
            </w:r>
            <w:r w:rsidR="005841CB">
              <w:rPr>
                <w:b/>
              </w:rPr>
              <w:t>6</w:t>
            </w:r>
            <w:r w:rsidRPr="005A1A62">
              <w:rPr>
                <w:b/>
              </w:rPr>
              <w:t>/1</w:t>
            </w:r>
            <w:r w:rsidR="005841CB">
              <w:rPr>
                <w:b/>
              </w:rPr>
              <w:t>7</w:t>
            </w:r>
          </w:p>
        </w:tc>
        <w:tc>
          <w:tcPr>
            <w:tcW w:w="1552" w:type="dxa"/>
          </w:tcPr>
          <w:p w:rsidR="00E50DF8" w:rsidRPr="005A1A62" w:rsidRDefault="00E50DF8">
            <w:pPr>
              <w:jc w:val="center"/>
              <w:rPr>
                <w:b/>
              </w:rPr>
            </w:pPr>
            <w:r w:rsidRPr="005A1A62">
              <w:rPr>
                <w:b/>
              </w:rPr>
              <w:t>201</w:t>
            </w:r>
            <w:r w:rsidR="005841CB">
              <w:rPr>
                <w:b/>
              </w:rPr>
              <w:t>7</w:t>
            </w:r>
            <w:r w:rsidRPr="005A1A62">
              <w:rPr>
                <w:b/>
              </w:rPr>
              <w:t>/1</w:t>
            </w:r>
            <w:r w:rsidR="005841CB">
              <w:rPr>
                <w:b/>
              </w:rPr>
              <w:t>8</w:t>
            </w:r>
          </w:p>
        </w:tc>
        <w:tc>
          <w:tcPr>
            <w:tcW w:w="1553" w:type="dxa"/>
          </w:tcPr>
          <w:p w:rsidR="00E50DF8" w:rsidRPr="005A1A62" w:rsidRDefault="00E50DF8">
            <w:pPr>
              <w:jc w:val="center"/>
              <w:rPr>
                <w:b/>
              </w:rPr>
            </w:pPr>
            <w:r w:rsidRPr="005A1A62">
              <w:rPr>
                <w:b/>
              </w:rPr>
              <w:t>201</w:t>
            </w:r>
            <w:r w:rsidR="005841CB">
              <w:rPr>
                <w:b/>
              </w:rPr>
              <w:t>8</w:t>
            </w:r>
            <w:r w:rsidRPr="005A1A62">
              <w:rPr>
                <w:b/>
              </w:rPr>
              <w:t>/1</w:t>
            </w:r>
            <w:r w:rsidR="005841CB">
              <w:rPr>
                <w:b/>
              </w:rPr>
              <w:t>9</w:t>
            </w:r>
          </w:p>
        </w:tc>
      </w:tr>
      <w:tr w:rsidR="004F3510" w:rsidRPr="005A1A62" w:rsidTr="00E50DF8">
        <w:tc>
          <w:tcPr>
            <w:tcW w:w="2988" w:type="dxa"/>
          </w:tcPr>
          <w:p w:rsidR="004F3510" w:rsidRPr="005A1A62" w:rsidRDefault="004F3510" w:rsidP="004F3510">
            <w:pPr>
              <w:pStyle w:val="Header"/>
              <w:spacing w:after="120"/>
            </w:pPr>
          </w:p>
        </w:tc>
        <w:tc>
          <w:tcPr>
            <w:tcW w:w="1553" w:type="dxa"/>
          </w:tcPr>
          <w:p w:rsidR="004F3510" w:rsidRPr="00D86663" w:rsidRDefault="004F3510" w:rsidP="00B00F15">
            <w:pPr>
              <w:spacing w:after="120"/>
              <w:jc w:val="center"/>
            </w:pPr>
            <w:r w:rsidRPr="00D86663">
              <w:t>£</w:t>
            </w:r>
            <w:r w:rsidR="00B00F15" w:rsidRPr="00D86663">
              <w:t>m</w:t>
            </w:r>
          </w:p>
        </w:tc>
        <w:tc>
          <w:tcPr>
            <w:tcW w:w="1553" w:type="dxa"/>
          </w:tcPr>
          <w:p w:rsidR="004F3510" w:rsidRPr="005A1A62" w:rsidRDefault="004F3510" w:rsidP="00B00F15">
            <w:pPr>
              <w:spacing w:after="120"/>
              <w:jc w:val="center"/>
              <w:rPr>
                <w:b/>
              </w:rPr>
            </w:pPr>
            <w:r w:rsidRPr="005A1A62">
              <w:rPr>
                <w:b/>
              </w:rPr>
              <w:t>£</w:t>
            </w:r>
            <w:r w:rsidR="00B00F15" w:rsidRPr="005A1A62">
              <w:rPr>
                <w:b/>
              </w:rPr>
              <w:t>m</w:t>
            </w:r>
          </w:p>
        </w:tc>
        <w:tc>
          <w:tcPr>
            <w:tcW w:w="1552" w:type="dxa"/>
          </w:tcPr>
          <w:p w:rsidR="004F3510" w:rsidRPr="005A1A62" w:rsidRDefault="004F3510" w:rsidP="00B00F15">
            <w:pPr>
              <w:spacing w:after="120"/>
              <w:jc w:val="center"/>
              <w:rPr>
                <w:b/>
              </w:rPr>
            </w:pPr>
            <w:r w:rsidRPr="005A1A62">
              <w:rPr>
                <w:b/>
              </w:rPr>
              <w:t>£</w:t>
            </w:r>
            <w:r w:rsidR="00B00F15" w:rsidRPr="005A1A62">
              <w:rPr>
                <w:b/>
              </w:rPr>
              <w:t>m</w:t>
            </w:r>
          </w:p>
        </w:tc>
        <w:tc>
          <w:tcPr>
            <w:tcW w:w="1553" w:type="dxa"/>
          </w:tcPr>
          <w:p w:rsidR="004F3510" w:rsidRPr="005A1A62" w:rsidRDefault="004F3510" w:rsidP="00B00F15">
            <w:pPr>
              <w:spacing w:after="120"/>
              <w:jc w:val="center"/>
              <w:rPr>
                <w:b/>
              </w:rPr>
            </w:pPr>
            <w:r w:rsidRPr="005A1A62">
              <w:rPr>
                <w:b/>
              </w:rPr>
              <w:t>£</w:t>
            </w:r>
            <w:r w:rsidR="00B00F15" w:rsidRPr="005A1A62">
              <w:rPr>
                <w:b/>
              </w:rPr>
              <w:t>m</w:t>
            </w:r>
          </w:p>
        </w:tc>
      </w:tr>
      <w:tr w:rsidR="004F3510" w:rsidRPr="005A1A62" w:rsidTr="00E50DF8">
        <w:tc>
          <w:tcPr>
            <w:tcW w:w="2988" w:type="dxa"/>
          </w:tcPr>
          <w:p w:rsidR="004F3510" w:rsidRPr="00914A56" w:rsidRDefault="004F3510" w:rsidP="004F3510">
            <w:r w:rsidRPr="00914A56">
              <w:t>Borrowing</w:t>
            </w:r>
          </w:p>
        </w:tc>
        <w:tc>
          <w:tcPr>
            <w:tcW w:w="1553" w:type="dxa"/>
          </w:tcPr>
          <w:p w:rsidR="004F3510" w:rsidRPr="005841CB" w:rsidRDefault="005841CB">
            <w:pPr>
              <w:tabs>
                <w:tab w:val="decimal" w:pos="1062"/>
              </w:tabs>
            </w:pPr>
            <w:r>
              <w:t>1,</w:t>
            </w:r>
            <w:r w:rsidR="005A04E3">
              <w:t>200</w:t>
            </w:r>
          </w:p>
        </w:tc>
        <w:tc>
          <w:tcPr>
            <w:tcW w:w="1553" w:type="dxa"/>
          </w:tcPr>
          <w:p w:rsidR="004F3510" w:rsidRPr="00914A56" w:rsidRDefault="005841CB">
            <w:pPr>
              <w:tabs>
                <w:tab w:val="decimal" w:pos="1062"/>
              </w:tabs>
            </w:pPr>
            <w:r>
              <w:t>1,2</w:t>
            </w:r>
            <w:r w:rsidR="005A04E3">
              <w:t>50</w:t>
            </w:r>
          </w:p>
        </w:tc>
        <w:tc>
          <w:tcPr>
            <w:tcW w:w="1552" w:type="dxa"/>
          </w:tcPr>
          <w:p w:rsidR="004F3510" w:rsidRPr="00914A56" w:rsidRDefault="005841CB">
            <w:pPr>
              <w:tabs>
                <w:tab w:val="decimal" w:pos="1062"/>
              </w:tabs>
            </w:pPr>
            <w:r>
              <w:t>1,</w:t>
            </w:r>
            <w:r w:rsidR="00A908CC">
              <w:t>250</w:t>
            </w:r>
          </w:p>
        </w:tc>
        <w:tc>
          <w:tcPr>
            <w:tcW w:w="1553" w:type="dxa"/>
          </w:tcPr>
          <w:p w:rsidR="004F3510" w:rsidRPr="00914A56" w:rsidRDefault="005A04E3">
            <w:pPr>
              <w:tabs>
                <w:tab w:val="decimal" w:pos="1062"/>
              </w:tabs>
            </w:pPr>
            <w:r>
              <w:t xml:space="preserve"> </w:t>
            </w:r>
            <w:r w:rsidR="005841CB">
              <w:t>1,2</w:t>
            </w:r>
            <w:r>
              <w:t>50</w:t>
            </w:r>
          </w:p>
        </w:tc>
      </w:tr>
      <w:tr w:rsidR="00914A56" w:rsidRPr="005A1A62" w:rsidTr="00E50DF8">
        <w:tc>
          <w:tcPr>
            <w:tcW w:w="2988" w:type="dxa"/>
          </w:tcPr>
          <w:p w:rsidR="00914A56" w:rsidRPr="00914A56" w:rsidRDefault="00914A56" w:rsidP="00914A56">
            <w:pPr>
              <w:spacing w:after="240"/>
            </w:pPr>
            <w:r w:rsidRPr="00914A56">
              <w:t>Other long term liabilities</w:t>
            </w:r>
          </w:p>
        </w:tc>
        <w:tc>
          <w:tcPr>
            <w:tcW w:w="1553" w:type="dxa"/>
          </w:tcPr>
          <w:p w:rsidR="00914A56" w:rsidRPr="005841CB" w:rsidRDefault="00923FB2" w:rsidP="00914A56">
            <w:pPr>
              <w:tabs>
                <w:tab w:val="decimal" w:pos="1062"/>
              </w:tabs>
              <w:spacing w:after="240"/>
            </w:pPr>
            <w:r>
              <w:t>200</w:t>
            </w:r>
          </w:p>
        </w:tc>
        <w:tc>
          <w:tcPr>
            <w:tcW w:w="1553" w:type="dxa"/>
          </w:tcPr>
          <w:p w:rsidR="00914A56" w:rsidRPr="00914A56" w:rsidRDefault="00923FB2" w:rsidP="00914A56">
            <w:pPr>
              <w:tabs>
                <w:tab w:val="decimal" w:pos="1062"/>
              </w:tabs>
              <w:spacing w:after="240"/>
            </w:pPr>
            <w:r>
              <w:t>200</w:t>
            </w:r>
          </w:p>
        </w:tc>
        <w:tc>
          <w:tcPr>
            <w:tcW w:w="1552" w:type="dxa"/>
          </w:tcPr>
          <w:p w:rsidR="00914A56" w:rsidRPr="00914A56" w:rsidRDefault="00923FB2" w:rsidP="00914A56">
            <w:pPr>
              <w:tabs>
                <w:tab w:val="decimal" w:pos="1062"/>
              </w:tabs>
              <w:spacing w:after="240"/>
            </w:pPr>
            <w:r>
              <w:t>200</w:t>
            </w:r>
          </w:p>
        </w:tc>
        <w:tc>
          <w:tcPr>
            <w:tcW w:w="1553" w:type="dxa"/>
          </w:tcPr>
          <w:p w:rsidR="00914A56" w:rsidRPr="00914A56" w:rsidRDefault="00923FB2" w:rsidP="00914A56">
            <w:pPr>
              <w:tabs>
                <w:tab w:val="decimal" w:pos="1062"/>
              </w:tabs>
              <w:spacing w:after="240"/>
            </w:pPr>
            <w:r>
              <w:t>200</w:t>
            </w:r>
          </w:p>
        </w:tc>
      </w:tr>
      <w:tr w:rsidR="00277A17" w:rsidRPr="005A1A62" w:rsidTr="00E50DF8">
        <w:tc>
          <w:tcPr>
            <w:tcW w:w="2988" w:type="dxa"/>
          </w:tcPr>
          <w:p w:rsidR="00277A17" w:rsidRPr="00914A56" w:rsidRDefault="00277A17" w:rsidP="004F3510">
            <w:pPr>
              <w:spacing w:after="240"/>
            </w:pPr>
            <w:r w:rsidRPr="00914A56">
              <w:t>TOTAL</w:t>
            </w:r>
          </w:p>
        </w:tc>
        <w:tc>
          <w:tcPr>
            <w:tcW w:w="1553" w:type="dxa"/>
          </w:tcPr>
          <w:p w:rsidR="00277A17" w:rsidRPr="005841CB" w:rsidRDefault="004C0D12">
            <w:pPr>
              <w:tabs>
                <w:tab w:val="decimal" w:pos="1062"/>
              </w:tabs>
              <w:spacing w:after="240"/>
            </w:pPr>
            <w:r>
              <w:t>1,</w:t>
            </w:r>
            <w:r w:rsidR="005A04E3">
              <w:t>400</w:t>
            </w:r>
          </w:p>
        </w:tc>
        <w:tc>
          <w:tcPr>
            <w:tcW w:w="1553" w:type="dxa"/>
          </w:tcPr>
          <w:p w:rsidR="00277A17" w:rsidRPr="00914A56" w:rsidRDefault="004C0D12">
            <w:pPr>
              <w:tabs>
                <w:tab w:val="decimal" w:pos="1062"/>
              </w:tabs>
              <w:spacing w:after="240"/>
            </w:pPr>
            <w:r>
              <w:t>1,4</w:t>
            </w:r>
            <w:r w:rsidR="005A04E3">
              <w:t>50</w:t>
            </w:r>
          </w:p>
        </w:tc>
        <w:tc>
          <w:tcPr>
            <w:tcW w:w="1552" w:type="dxa"/>
          </w:tcPr>
          <w:p w:rsidR="00277A17" w:rsidRPr="00914A56" w:rsidRDefault="004C0D12">
            <w:pPr>
              <w:tabs>
                <w:tab w:val="decimal" w:pos="1062"/>
              </w:tabs>
              <w:spacing w:after="240"/>
            </w:pPr>
            <w:r>
              <w:t>1,</w:t>
            </w:r>
            <w:r w:rsidR="00A908CC">
              <w:t>450</w:t>
            </w:r>
          </w:p>
        </w:tc>
        <w:tc>
          <w:tcPr>
            <w:tcW w:w="1553" w:type="dxa"/>
          </w:tcPr>
          <w:p w:rsidR="00277A17" w:rsidRPr="00914A56" w:rsidRDefault="004C0D12">
            <w:pPr>
              <w:tabs>
                <w:tab w:val="decimal" w:pos="1062"/>
              </w:tabs>
              <w:spacing w:after="240"/>
            </w:pPr>
            <w:r>
              <w:t>1,4</w:t>
            </w:r>
            <w:r w:rsidR="005A04E3">
              <w:t>50</w:t>
            </w:r>
          </w:p>
        </w:tc>
      </w:tr>
    </w:tbl>
    <w:p w:rsidR="00D635B5" w:rsidRDefault="00D635B5" w:rsidP="003409E6">
      <w:pPr>
        <w:rPr>
          <w:highlight w:val="yellow"/>
        </w:rPr>
      </w:pPr>
    </w:p>
    <w:p w:rsidR="00D635B5" w:rsidRDefault="00D635B5" w:rsidP="004F3510">
      <w:pPr>
        <w:spacing w:after="240"/>
        <w:rPr>
          <w:highlight w:val="yellow"/>
        </w:rPr>
      </w:pPr>
    </w:p>
    <w:p w:rsidR="004F3510" w:rsidRDefault="004F3510" w:rsidP="00D635B5">
      <w:pPr>
        <w:spacing w:after="240"/>
        <w:jc w:val="both"/>
      </w:pPr>
      <w:r w:rsidRPr="005A1A62">
        <w:t xml:space="preserve">The proposed operational boundary for external debt is based on the same estimates as the authorised limit.  However, although it reflects a prudent estimate of debt, there is no provision for unusual cash flow movements.  In effect, it represents the estimated maximum external debt arising as a consequence of the </w:t>
      </w:r>
      <w:r w:rsidR="00043461">
        <w:t>c</w:t>
      </w:r>
      <w:r w:rsidR="00F25AD0">
        <w:t>ounty council</w:t>
      </w:r>
      <w:r w:rsidRPr="005A1A62">
        <w:t>'s current plans.  As required under the Code, this limit will be carefully monitored during the year.  The proposed operational boundary for external debt is:</w:t>
      </w:r>
    </w:p>
    <w:p w:rsidR="00923FB2" w:rsidRDefault="00923FB2" w:rsidP="00D635B5">
      <w:pPr>
        <w:spacing w:after="240"/>
        <w:jc w:val="both"/>
      </w:pPr>
    </w:p>
    <w:p w:rsidR="00923FB2" w:rsidRPr="005A1A62" w:rsidRDefault="00923FB2" w:rsidP="00D635B5">
      <w:pPr>
        <w:spacing w:after="240"/>
        <w:jc w:val="both"/>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2"/>
        <w:gridCol w:w="1553"/>
        <w:gridCol w:w="1552"/>
        <w:gridCol w:w="1553"/>
      </w:tblGrid>
      <w:tr w:rsidR="00E50DF8" w:rsidRPr="00F32DDB" w:rsidTr="00E50DF8">
        <w:tc>
          <w:tcPr>
            <w:tcW w:w="2988" w:type="dxa"/>
          </w:tcPr>
          <w:p w:rsidR="00E50DF8" w:rsidRPr="00F32DDB" w:rsidRDefault="00E50DF8" w:rsidP="00E50DF8"/>
        </w:tc>
        <w:tc>
          <w:tcPr>
            <w:tcW w:w="1552" w:type="dxa"/>
          </w:tcPr>
          <w:p w:rsidR="00E50DF8" w:rsidRPr="005A1A62" w:rsidRDefault="00E50DF8" w:rsidP="00E50DF8">
            <w:pPr>
              <w:jc w:val="center"/>
              <w:rPr>
                <w:b/>
              </w:rPr>
            </w:pPr>
            <w:r w:rsidRPr="005A1A62">
              <w:rPr>
                <w:b/>
              </w:rPr>
              <w:t>201</w:t>
            </w:r>
            <w:r w:rsidR="00923FB2">
              <w:rPr>
                <w:b/>
              </w:rPr>
              <w:t>5</w:t>
            </w:r>
            <w:r w:rsidRPr="005A1A62">
              <w:rPr>
                <w:b/>
              </w:rPr>
              <w:t>/1</w:t>
            </w:r>
            <w:r w:rsidR="00923FB2">
              <w:rPr>
                <w:b/>
              </w:rPr>
              <w:t>6</w:t>
            </w:r>
          </w:p>
          <w:p w:rsidR="00E50DF8" w:rsidRPr="00F32DDB" w:rsidRDefault="00E50DF8" w:rsidP="00E50DF8">
            <w:pPr>
              <w:jc w:val="center"/>
              <w:rPr>
                <w:b/>
              </w:rPr>
            </w:pPr>
            <w:r w:rsidRPr="005A1A62">
              <w:rPr>
                <w:b/>
              </w:rPr>
              <w:t>Revised</w:t>
            </w:r>
          </w:p>
        </w:tc>
        <w:tc>
          <w:tcPr>
            <w:tcW w:w="1553" w:type="dxa"/>
          </w:tcPr>
          <w:p w:rsidR="00E50DF8" w:rsidRPr="00F32DDB" w:rsidRDefault="00E50DF8">
            <w:pPr>
              <w:jc w:val="center"/>
              <w:rPr>
                <w:b/>
              </w:rPr>
            </w:pPr>
            <w:r w:rsidRPr="005A1A62">
              <w:rPr>
                <w:b/>
              </w:rPr>
              <w:t>201</w:t>
            </w:r>
            <w:r w:rsidR="00923FB2">
              <w:rPr>
                <w:b/>
              </w:rPr>
              <w:t>6</w:t>
            </w:r>
            <w:r w:rsidRPr="005A1A62">
              <w:rPr>
                <w:b/>
              </w:rPr>
              <w:t>/1</w:t>
            </w:r>
            <w:r w:rsidR="00923FB2">
              <w:rPr>
                <w:b/>
              </w:rPr>
              <w:t>7</w:t>
            </w:r>
          </w:p>
        </w:tc>
        <w:tc>
          <w:tcPr>
            <w:tcW w:w="1552" w:type="dxa"/>
          </w:tcPr>
          <w:p w:rsidR="00E50DF8" w:rsidRPr="00F32DDB" w:rsidRDefault="00E50DF8">
            <w:pPr>
              <w:jc w:val="center"/>
              <w:rPr>
                <w:b/>
              </w:rPr>
            </w:pPr>
            <w:r w:rsidRPr="005A1A62">
              <w:rPr>
                <w:b/>
              </w:rPr>
              <w:t>201</w:t>
            </w:r>
            <w:r w:rsidR="00923FB2">
              <w:rPr>
                <w:b/>
              </w:rPr>
              <w:t>7</w:t>
            </w:r>
            <w:r w:rsidRPr="005A1A62">
              <w:rPr>
                <w:b/>
              </w:rPr>
              <w:t>/1</w:t>
            </w:r>
            <w:r w:rsidR="00923FB2">
              <w:rPr>
                <w:b/>
              </w:rPr>
              <w:t>8</w:t>
            </w:r>
          </w:p>
        </w:tc>
        <w:tc>
          <w:tcPr>
            <w:tcW w:w="1553" w:type="dxa"/>
          </w:tcPr>
          <w:p w:rsidR="00E50DF8" w:rsidRPr="00F32DDB" w:rsidRDefault="00E50DF8">
            <w:pPr>
              <w:jc w:val="center"/>
              <w:rPr>
                <w:b/>
              </w:rPr>
            </w:pPr>
            <w:r w:rsidRPr="005A1A62">
              <w:rPr>
                <w:b/>
              </w:rPr>
              <w:t>201</w:t>
            </w:r>
            <w:r w:rsidR="00923FB2">
              <w:rPr>
                <w:b/>
              </w:rPr>
              <w:t>8</w:t>
            </w:r>
            <w:r w:rsidRPr="005A1A62">
              <w:rPr>
                <w:b/>
              </w:rPr>
              <w:t>/1</w:t>
            </w:r>
            <w:r w:rsidR="00923FB2">
              <w:rPr>
                <w:b/>
              </w:rPr>
              <w:t>9</w:t>
            </w:r>
          </w:p>
        </w:tc>
      </w:tr>
      <w:tr w:rsidR="004F3510" w:rsidRPr="00F32DDB" w:rsidTr="00E50DF8">
        <w:trPr>
          <w:trHeight w:val="570"/>
        </w:trPr>
        <w:tc>
          <w:tcPr>
            <w:tcW w:w="2988" w:type="dxa"/>
          </w:tcPr>
          <w:p w:rsidR="004F3510" w:rsidRPr="00F32DDB" w:rsidRDefault="004F3510" w:rsidP="004F3510">
            <w:pPr>
              <w:spacing w:after="120"/>
            </w:pPr>
          </w:p>
        </w:tc>
        <w:tc>
          <w:tcPr>
            <w:tcW w:w="1552" w:type="dxa"/>
          </w:tcPr>
          <w:p w:rsidR="004F3510" w:rsidRPr="00F32DDB" w:rsidRDefault="004F3510" w:rsidP="004158C2">
            <w:pPr>
              <w:spacing w:after="120"/>
              <w:jc w:val="center"/>
              <w:rPr>
                <w:b/>
              </w:rPr>
            </w:pPr>
            <w:r w:rsidRPr="00F32DDB">
              <w:rPr>
                <w:b/>
              </w:rPr>
              <w:t>£</w:t>
            </w:r>
            <w:r w:rsidR="004158C2" w:rsidRPr="00F32DDB">
              <w:rPr>
                <w:b/>
              </w:rPr>
              <w:t>m</w:t>
            </w:r>
          </w:p>
        </w:tc>
        <w:tc>
          <w:tcPr>
            <w:tcW w:w="1553" w:type="dxa"/>
          </w:tcPr>
          <w:p w:rsidR="004F3510" w:rsidRPr="00F32DDB" w:rsidRDefault="004F3510" w:rsidP="004158C2">
            <w:pPr>
              <w:spacing w:after="120"/>
              <w:jc w:val="center"/>
              <w:rPr>
                <w:b/>
              </w:rPr>
            </w:pPr>
            <w:r w:rsidRPr="00F32DDB">
              <w:rPr>
                <w:b/>
              </w:rPr>
              <w:t>£</w:t>
            </w:r>
            <w:r w:rsidR="004158C2" w:rsidRPr="00F32DDB">
              <w:rPr>
                <w:b/>
              </w:rPr>
              <w:t>m</w:t>
            </w:r>
          </w:p>
        </w:tc>
        <w:tc>
          <w:tcPr>
            <w:tcW w:w="1552" w:type="dxa"/>
          </w:tcPr>
          <w:p w:rsidR="004F3510" w:rsidRPr="00F32DDB" w:rsidRDefault="004F3510" w:rsidP="004158C2">
            <w:pPr>
              <w:spacing w:after="120"/>
              <w:jc w:val="center"/>
              <w:rPr>
                <w:b/>
              </w:rPr>
            </w:pPr>
            <w:r w:rsidRPr="00F32DDB">
              <w:rPr>
                <w:b/>
              </w:rPr>
              <w:t>£</w:t>
            </w:r>
            <w:r w:rsidR="004158C2" w:rsidRPr="00F32DDB">
              <w:rPr>
                <w:b/>
              </w:rPr>
              <w:t>m</w:t>
            </w:r>
          </w:p>
        </w:tc>
        <w:tc>
          <w:tcPr>
            <w:tcW w:w="1553" w:type="dxa"/>
          </w:tcPr>
          <w:p w:rsidR="004F3510" w:rsidRPr="00F32DDB" w:rsidRDefault="004F3510" w:rsidP="004158C2">
            <w:pPr>
              <w:spacing w:after="120"/>
              <w:jc w:val="center"/>
              <w:rPr>
                <w:b/>
              </w:rPr>
            </w:pPr>
            <w:r w:rsidRPr="00F32DDB">
              <w:rPr>
                <w:b/>
              </w:rPr>
              <w:t>£</w:t>
            </w:r>
            <w:r w:rsidR="004158C2" w:rsidRPr="00F32DDB">
              <w:rPr>
                <w:b/>
              </w:rPr>
              <w:t>m</w:t>
            </w:r>
          </w:p>
        </w:tc>
      </w:tr>
      <w:tr w:rsidR="00914A56" w:rsidRPr="00F32DDB" w:rsidTr="00E50DF8">
        <w:tc>
          <w:tcPr>
            <w:tcW w:w="2988" w:type="dxa"/>
          </w:tcPr>
          <w:p w:rsidR="00914A56" w:rsidRPr="00F861B8" w:rsidRDefault="00914A56" w:rsidP="00914A56">
            <w:pPr>
              <w:rPr>
                <w:highlight w:val="yellow"/>
              </w:rPr>
            </w:pPr>
            <w:r w:rsidRPr="007B2F5D">
              <w:t>Borrowing</w:t>
            </w:r>
          </w:p>
        </w:tc>
        <w:tc>
          <w:tcPr>
            <w:tcW w:w="1552" w:type="dxa"/>
          </w:tcPr>
          <w:p w:rsidR="00914A56" w:rsidRPr="00914A56" w:rsidRDefault="00914A56">
            <w:pPr>
              <w:tabs>
                <w:tab w:val="decimal" w:pos="1062"/>
              </w:tabs>
              <w:spacing w:after="240"/>
              <w:jc w:val="center"/>
            </w:pPr>
            <w:r w:rsidRPr="007B2F5D">
              <w:t>1,</w:t>
            </w:r>
            <w:r w:rsidR="005A04E3">
              <w:t>120</w:t>
            </w:r>
          </w:p>
        </w:tc>
        <w:tc>
          <w:tcPr>
            <w:tcW w:w="1553" w:type="dxa"/>
          </w:tcPr>
          <w:p w:rsidR="00914A56" w:rsidRPr="00914A56" w:rsidRDefault="00914A56">
            <w:pPr>
              <w:tabs>
                <w:tab w:val="decimal" w:pos="1062"/>
              </w:tabs>
              <w:spacing w:after="240"/>
              <w:jc w:val="center"/>
            </w:pPr>
            <w:r>
              <w:t>1,</w:t>
            </w:r>
            <w:r w:rsidR="009A19CB">
              <w:t>19</w:t>
            </w:r>
            <w:r w:rsidR="005A04E3">
              <w:t>0</w:t>
            </w:r>
          </w:p>
        </w:tc>
        <w:tc>
          <w:tcPr>
            <w:tcW w:w="1552" w:type="dxa"/>
          </w:tcPr>
          <w:p w:rsidR="00914A56" w:rsidRPr="00914A56" w:rsidRDefault="00914A56">
            <w:pPr>
              <w:tabs>
                <w:tab w:val="decimal" w:pos="1062"/>
              </w:tabs>
              <w:spacing w:after="240"/>
              <w:jc w:val="center"/>
            </w:pPr>
            <w:r>
              <w:t>1,</w:t>
            </w:r>
            <w:r w:rsidR="009A19CB">
              <w:t>1</w:t>
            </w:r>
            <w:r w:rsidR="005A04E3">
              <w:t>80</w:t>
            </w:r>
          </w:p>
        </w:tc>
        <w:tc>
          <w:tcPr>
            <w:tcW w:w="1553" w:type="dxa"/>
          </w:tcPr>
          <w:p w:rsidR="00914A56" w:rsidRPr="00914A56" w:rsidRDefault="00914A56">
            <w:pPr>
              <w:tabs>
                <w:tab w:val="decimal" w:pos="1062"/>
              </w:tabs>
              <w:spacing w:after="240"/>
              <w:jc w:val="center"/>
            </w:pPr>
            <w:r>
              <w:t>1,</w:t>
            </w:r>
            <w:r w:rsidR="009A19CB">
              <w:t>1</w:t>
            </w:r>
            <w:r w:rsidR="005A04E3">
              <w:t>60</w:t>
            </w:r>
          </w:p>
        </w:tc>
      </w:tr>
      <w:tr w:rsidR="00914A56" w:rsidRPr="00F32DDB" w:rsidTr="00E50DF8">
        <w:tc>
          <w:tcPr>
            <w:tcW w:w="2988" w:type="dxa"/>
          </w:tcPr>
          <w:p w:rsidR="00914A56" w:rsidRPr="00F861B8" w:rsidRDefault="00914A56" w:rsidP="00914A56">
            <w:pPr>
              <w:spacing w:after="240"/>
              <w:rPr>
                <w:highlight w:val="yellow"/>
              </w:rPr>
            </w:pPr>
            <w:r w:rsidRPr="007B2F5D">
              <w:t>Other long term liabilities</w:t>
            </w:r>
          </w:p>
        </w:tc>
        <w:tc>
          <w:tcPr>
            <w:tcW w:w="1552" w:type="dxa"/>
          </w:tcPr>
          <w:p w:rsidR="00914A56" w:rsidRPr="00914A56" w:rsidRDefault="00923FB2" w:rsidP="00F861B8">
            <w:pPr>
              <w:tabs>
                <w:tab w:val="decimal" w:pos="1062"/>
              </w:tabs>
              <w:spacing w:after="240"/>
              <w:jc w:val="center"/>
            </w:pPr>
            <w:r>
              <w:t>180</w:t>
            </w:r>
          </w:p>
        </w:tc>
        <w:tc>
          <w:tcPr>
            <w:tcW w:w="1553" w:type="dxa"/>
          </w:tcPr>
          <w:p w:rsidR="00914A56" w:rsidRPr="00914A56" w:rsidRDefault="00923FB2" w:rsidP="00F861B8">
            <w:pPr>
              <w:tabs>
                <w:tab w:val="decimal" w:pos="1062"/>
              </w:tabs>
              <w:spacing w:after="240"/>
              <w:jc w:val="center"/>
            </w:pPr>
            <w:r>
              <w:t>180</w:t>
            </w:r>
          </w:p>
        </w:tc>
        <w:tc>
          <w:tcPr>
            <w:tcW w:w="1552" w:type="dxa"/>
          </w:tcPr>
          <w:p w:rsidR="00914A56" w:rsidRPr="00914A56" w:rsidRDefault="00923FB2" w:rsidP="00F861B8">
            <w:pPr>
              <w:tabs>
                <w:tab w:val="decimal" w:pos="1062"/>
              </w:tabs>
              <w:spacing w:after="240"/>
              <w:jc w:val="center"/>
            </w:pPr>
            <w:r>
              <w:t>180</w:t>
            </w:r>
          </w:p>
        </w:tc>
        <w:tc>
          <w:tcPr>
            <w:tcW w:w="1553" w:type="dxa"/>
          </w:tcPr>
          <w:p w:rsidR="00914A56" w:rsidRPr="00914A56" w:rsidRDefault="00923FB2" w:rsidP="00F861B8">
            <w:pPr>
              <w:tabs>
                <w:tab w:val="decimal" w:pos="1062"/>
              </w:tabs>
              <w:spacing w:after="240"/>
              <w:jc w:val="center"/>
            </w:pPr>
            <w:r>
              <w:t>180</w:t>
            </w:r>
          </w:p>
        </w:tc>
      </w:tr>
      <w:tr w:rsidR="00914A56" w:rsidRPr="00F32DDB" w:rsidTr="00E50DF8">
        <w:tc>
          <w:tcPr>
            <w:tcW w:w="2988" w:type="dxa"/>
          </w:tcPr>
          <w:p w:rsidR="00914A56" w:rsidRPr="00F861B8" w:rsidRDefault="00914A56" w:rsidP="00914A56">
            <w:pPr>
              <w:spacing w:after="240"/>
              <w:rPr>
                <w:highlight w:val="yellow"/>
              </w:rPr>
            </w:pPr>
            <w:r w:rsidRPr="005B0F9C">
              <w:t>TOTAL</w:t>
            </w:r>
          </w:p>
        </w:tc>
        <w:tc>
          <w:tcPr>
            <w:tcW w:w="1552" w:type="dxa"/>
          </w:tcPr>
          <w:p w:rsidR="00914A56" w:rsidRPr="00F861B8" w:rsidRDefault="00914A56">
            <w:pPr>
              <w:tabs>
                <w:tab w:val="decimal" w:pos="1062"/>
              </w:tabs>
              <w:spacing w:after="240"/>
              <w:jc w:val="center"/>
              <w:rPr>
                <w:highlight w:val="yellow"/>
              </w:rPr>
            </w:pPr>
            <w:r w:rsidRPr="005B0F9C">
              <w:t>1,</w:t>
            </w:r>
            <w:r w:rsidR="00923FB2">
              <w:t>3</w:t>
            </w:r>
            <w:r w:rsidR="005A04E3">
              <w:t>0</w:t>
            </w:r>
            <w:r w:rsidR="00923FB2">
              <w:t>0</w:t>
            </w:r>
          </w:p>
        </w:tc>
        <w:tc>
          <w:tcPr>
            <w:tcW w:w="1553" w:type="dxa"/>
          </w:tcPr>
          <w:p w:rsidR="00914A56" w:rsidRPr="00F861B8" w:rsidRDefault="00914A56">
            <w:pPr>
              <w:tabs>
                <w:tab w:val="decimal" w:pos="1062"/>
              </w:tabs>
              <w:spacing w:after="240"/>
              <w:jc w:val="center"/>
              <w:rPr>
                <w:highlight w:val="yellow"/>
              </w:rPr>
            </w:pPr>
            <w:r w:rsidRPr="005B0F9C">
              <w:t>1,</w:t>
            </w:r>
            <w:r w:rsidR="009A19CB">
              <w:t>37</w:t>
            </w:r>
            <w:r w:rsidR="00A908CC">
              <w:t>0</w:t>
            </w:r>
          </w:p>
        </w:tc>
        <w:tc>
          <w:tcPr>
            <w:tcW w:w="1552" w:type="dxa"/>
          </w:tcPr>
          <w:p w:rsidR="00914A56" w:rsidRPr="00F861B8" w:rsidRDefault="00914A56">
            <w:pPr>
              <w:tabs>
                <w:tab w:val="decimal" w:pos="1062"/>
              </w:tabs>
              <w:spacing w:after="240"/>
              <w:jc w:val="center"/>
              <w:rPr>
                <w:highlight w:val="yellow"/>
              </w:rPr>
            </w:pPr>
            <w:r w:rsidRPr="005B0F9C">
              <w:t>1,</w:t>
            </w:r>
            <w:r w:rsidR="009A19CB">
              <w:t>3</w:t>
            </w:r>
            <w:r w:rsidR="005A04E3">
              <w:t>60</w:t>
            </w:r>
          </w:p>
        </w:tc>
        <w:tc>
          <w:tcPr>
            <w:tcW w:w="1553" w:type="dxa"/>
          </w:tcPr>
          <w:p w:rsidR="00914A56" w:rsidRPr="00F861B8" w:rsidRDefault="00914A56">
            <w:pPr>
              <w:tabs>
                <w:tab w:val="decimal" w:pos="1062"/>
              </w:tabs>
              <w:spacing w:after="240"/>
              <w:jc w:val="center"/>
              <w:rPr>
                <w:highlight w:val="yellow"/>
              </w:rPr>
            </w:pPr>
            <w:r w:rsidRPr="005B0F9C">
              <w:t>1,</w:t>
            </w:r>
            <w:r w:rsidR="009A19CB">
              <w:t>3</w:t>
            </w:r>
            <w:r w:rsidR="005A04E3">
              <w:t>40</w:t>
            </w:r>
          </w:p>
        </w:tc>
      </w:tr>
    </w:tbl>
    <w:p w:rsidR="00877552" w:rsidRDefault="00877552" w:rsidP="004F3510">
      <w:pPr>
        <w:spacing w:after="240"/>
      </w:pPr>
    </w:p>
    <w:p w:rsidR="004F3510" w:rsidRPr="00F32DDB" w:rsidRDefault="004F3510" w:rsidP="004F3510">
      <w:pPr>
        <w:spacing w:after="240"/>
      </w:pPr>
      <w:r w:rsidRPr="00F32DDB">
        <w:t xml:space="preserve">The debt figures include transferred debt which is managed by the </w:t>
      </w:r>
      <w:r w:rsidR="00CE50DA">
        <w:t>C</w:t>
      </w:r>
      <w:r w:rsidR="00F25AD0">
        <w:t xml:space="preserve">ounty </w:t>
      </w:r>
      <w:r w:rsidR="00CE50DA">
        <w:t>C</w:t>
      </w:r>
      <w:r w:rsidR="00F25AD0">
        <w:t>ouncil</w:t>
      </w:r>
      <w:r w:rsidRPr="00F32DDB">
        <w:t xml:space="preserve"> on behalf of other authorities.</w:t>
      </w:r>
      <w:r w:rsidR="00E5600A" w:rsidRPr="00F32DDB">
        <w:t xml:space="preserve"> </w:t>
      </w:r>
      <w:r w:rsidR="00797CA4" w:rsidRPr="00F32DDB">
        <w:t>T</w:t>
      </w:r>
      <w:r w:rsidRPr="00F32DDB">
        <w:t xml:space="preserve">he transferred debt included within the debt indicators is estimated </w:t>
      </w:r>
      <w:r w:rsidR="00DF510A">
        <w:t xml:space="preserve">at the end of each year </w:t>
      </w:r>
      <w:r w:rsidRPr="00F32DDB">
        <w:t>to be:</w:t>
      </w:r>
    </w:p>
    <w:tbl>
      <w:tblPr>
        <w:tblW w:w="0" w:type="auto"/>
        <w:jc w:val="center"/>
        <w:tblLayout w:type="fixed"/>
        <w:tblLook w:val="0000" w:firstRow="0" w:lastRow="0" w:firstColumn="0" w:lastColumn="0" w:noHBand="0" w:noVBand="0"/>
      </w:tblPr>
      <w:tblGrid>
        <w:gridCol w:w="1440"/>
        <w:gridCol w:w="1440"/>
      </w:tblGrid>
      <w:tr w:rsidR="00B224F9" w:rsidRPr="00DF510A" w:rsidTr="004F3510">
        <w:trPr>
          <w:jc w:val="center"/>
        </w:trPr>
        <w:tc>
          <w:tcPr>
            <w:tcW w:w="1440" w:type="dxa"/>
          </w:tcPr>
          <w:p w:rsidR="00B224F9" w:rsidRPr="00F32DDB" w:rsidRDefault="00B224F9">
            <w:pPr>
              <w:jc w:val="center"/>
            </w:pPr>
            <w:r w:rsidRPr="00F32DDB">
              <w:t>201</w:t>
            </w:r>
            <w:r w:rsidR="004A5124">
              <w:t>5</w:t>
            </w:r>
            <w:r w:rsidRPr="00F32DDB">
              <w:t>/1</w:t>
            </w:r>
            <w:r w:rsidR="004A5124">
              <w:t>6</w:t>
            </w:r>
          </w:p>
        </w:tc>
        <w:tc>
          <w:tcPr>
            <w:tcW w:w="1440" w:type="dxa"/>
          </w:tcPr>
          <w:p w:rsidR="00B224F9" w:rsidRPr="00DF510A" w:rsidRDefault="00B224F9">
            <w:pPr>
              <w:jc w:val="center"/>
            </w:pPr>
            <w:r w:rsidRPr="00DF510A">
              <w:t>£</w:t>
            </w:r>
            <w:r w:rsidR="008E12BE">
              <w:t>36.970</w:t>
            </w:r>
            <w:r w:rsidRPr="00DF510A">
              <w:t xml:space="preserve"> m</w:t>
            </w:r>
          </w:p>
        </w:tc>
      </w:tr>
      <w:tr w:rsidR="00E50DF8" w:rsidRPr="00DF510A" w:rsidTr="004F3510">
        <w:trPr>
          <w:jc w:val="center"/>
        </w:trPr>
        <w:tc>
          <w:tcPr>
            <w:tcW w:w="1440" w:type="dxa"/>
          </w:tcPr>
          <w:p w:rsidR="00E50DF8" w:rsidRPr="00F32DDB" w:rsidRDefault="00E50DF8">
            <w:pPr>
              <w:jc w:val="center"/>
            </w:pPr>
            <w:r w:rsidRPr="00F32DDB">
              <w:t>201</w:t>
            </w:r>
            <w:r w:rsidR="004A5124">
              <w:t>6</w:t>
            </w:r>
            <w:r w:rsidRPr="00F32DDB">
              <w:t>/1</w:t>
            </w:r>
            <w:r w:rsidR="004A5124">
              <w:t>7</w:t>
            </w:r>
          </w:p>
        </w:tc>
        <w:tc>
          <w:tcPr>
            <w:tcW w:w="1440" w:type="dxa"/>
          </w:tcPr>
          <w:p w:rsidR="00E50DF8" w:rsidRPr="00DF510A" w:rsidRDefault="00E50DF8">
            <w:pPr>
              <w:jc w:val="center"/>
            </w:pPr>
            <w:r w:rsidRPr="00DF510A">
              <w:t>£</w:t>
            </w:r>
            <w:r w:rsidR="008E12BE">
              <w:t>35.283</w:t>
            </w:r>
            <w:r w:rsidRPr="00DF510A">
              <w:t xml:space="preserve"> m</w:t>
            </w:r>
          </w:p>
        </w:tc>
      </w:tr>
      <w:tr w:rsidR="00E50DF8" w:rsidRPr="00DF510A" w:rsidTr="004F3510">
        <w:trPr>
          <w:jc w:val="center"/>
        </w:trPr>
        <w:tc>
          <w:tcPr>
            <w:tcW w:w="1440" w:type="dxa"/>
          </w:tcPr>
          <w:p w:rsidR="00E50DF8" w:rsidRPr="00F32DDB" w:rsidRDefault="00E50DF8">
            <w:pPr>
              <w:jc w:val="center"/>
            </w:pPr>
            <w:r w:rsidRPr="00F32DDB">
              <w:t>201</w:t>
            </w:r>
            <w:r w:rsidR="004A5124">
              <w:t>7</w:t>
            </w:r>
            <w:r w:rsidRPr="00F32DDB">
              <w:t>/1</w:t>
            </w:r>
            <w:r w:rsidR="004A5124">
              <w:t>8</w:t>
            </w:r>
          </w:p>
        </w:tc>
        <w:tc>
          <w:tcPr>
            <w:tcW w:w="1440" w:type="dxa"/>
          </w:tcPr>
          <w:p w:rsidR="00E50DF8" w:rsidRPr="00DF510A" w:rsidRDefault="008E12BE" w:rsidP="00D86663">
            <w:r>
              <w:t xml:space="preserve"> </w:t>
            </w:r>
            <w:r w:rsidR="00E50DF8" w:rsidRPr="00DF510A">
              <w:t>£</w:t>
            </w:r>
            <w:r>
              <w:t>33.654</w:t>
            </w:r>
            <w:r w:rsidR="00E50DF8" w:rsidRPr="00DF510A">
              <w:t xml:space="preserve">m </w:t>
            </w:r>
          </w:p>
        </w:tc>
      </w:tr>
      <w:tr w:rsidR="004F3510" w:rsidRPr="00DF510A" w:rsidTr="004F3510">
        <w:trPr>
          <w:jc w:val="center"/>
        </w:trPr>
        <w:tc>
          <w:tcPr>
            <w:tcW w:w="1440" w:type="dxa"/>
          </w:tcPr>
          <w:p w:rsidR="004F3510" w:rsidRPr="00F32DDB" w:rsidRDefault="004F3510">
            <w:pPr>
              <w:spacing w:after="240"/>
              <w:jc w:val="center"/>
            </w:pPr>
            <w:r w:rsidRPr="00F32DDB">
              <w:t>201</w:t>
            </w:r>
            <w:r w:rsidR="004A5124">
              <w:t>8</w:t>
            </w:r>
            <w:r w:rsidRPr="00F32DDB">
              <w:t>/1</w:t>
            </w:r>
            <w:r w:rsidR="004A5124">
              <w:t>9</w:t>
            </w:r>
          </w:p>
        </w:tc>
        <w:tc>
          <w:tcPr>
            <w:tcW w:w="1440" w:type="dxa"/>
          </w:tcPr>
          <w:p w:rsidR="004F3510" w:rsidRPr="00DF510A" w:rsidRDefault="004F3510">
            <w:pPr>
              <w:spacing w:after="240"/>
              <w:jc w:val="center"/>
            </w:pPr>
            <w:r w:rsidRPr="00DF510A">
              <w:t>£</w:t>
            </w:r>
            <w:r w:rsidR="008E12BE">
              <w:t>32.080</w:t>
            </w:r>
            <w:r w:rsidRPr="00DF510A">
              <w:t>m</w:t>
            </w:r>
          </w:p>
        </w:tc>
      </w:tr>
    </w:tbl>
    <w:p w:rsidR="00797CA4" w:rsidRPr="00C660FA" w:rsidRDefault="00797CA4" w:rsidP="004F3510">
      <w:pPr>
        <w:pStyle w:val="Heading3"/>
      </w:pPr>
      <w:r w:rsidRPr="00C660FA">
        <w:t>Gross Debt and Capital Financing Requirement</w:t>
      </w:r>
    </w:p>
    <w:p w:rsidR="00A2720C" w:rsidRPr="00C660FA" w:rsidRDefault="00797CA4" w:rsidP="00650616">
      <w:pPr>
        <w:pStyle w:val="Heading3"/>
      </w:pPr>
      <w:r w:rsidRPr="00C660FA">
        <w:rPr>
          <w:b w:val="0"/>
        </w:rPr>
        <w:t>As a measure of prudence and to ensure that over the medium term debt is only used for a capital purpose</w:t>
      </w:r>
      <w:r w:rsidR="00A2720C" w:rsidRPr="00C660FA">
        <w:rPr>
          <w:b w:val="0"/>
        </w:rPr>
        <w:t xml:space="preserve">, the prudential code requires a comparison of gross debt and the capital financing requirement. The comparison for </w:t>
      </w:r>
      <w:r w:rsidR="00043461">
        <w:rPr>
          <w:b w:val="0"/>
        </w:rPr>
        <w:t xml:space="preserve">the </w:t>
      </w:r>
      <w:r w:rsidR="009A19CB">
        <w:rPr>
          <w:b w:val="0"/>
        </w:rPr>
        <w:t>County C</w:t>
      </w:r>
      <w:r w:rsidR="00F25AD0">
        <w:rPr>
          <w:b w:val="0"/>
        </w:rPr>
        <w:t>ouncil</w:t>
      </w:r>
      <w:r w:rsidR="00A2720C" w:rsidRPr="00C660FA">
        <w:rPr>
          <w:b w:val="0"/>
        </w:rPr>
        <w:t xml:space="preserve"> is shown below:</w:t>
      </w:r>
    </w:p>
    <w:tbl>
      <w:tblPr>
        <w:tblW w:w="7729" w:type="dxa"/>
        <w:tblInd w:w="4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4"/>
        <w:gridCol w:w="1284"/>
        <w:gridCol w:w="1418"/>
        <w:gridCol w:w="1418"/>
        <w:gridCol w:w="1405"/>
      </w:tblGrid>
      <w:tr w:rsidR="00DF5C1B" w:rsidRPr="00251E91" w:rsidTr="003D5B00">
        <w:tc>
          <w:tcPr>
            <w:tcW w:w="2204" w:type="dxa"/>
            <w:tcBorders>
              <w:top w:val="single" w:sz="4" w:space="0" w:color="auto"/>
            </w:tcBorders>
          </w:tcPr>
          <w:p w:rsidR="00DF5C1B" w:rsidRPr="005B473A" w:rsidRDefault="00DF5C1B" w:rsidP="003D5B00"/>
        </w:tc>
        <w:tc>
          <w:tcPr>
            <w:tcW w:w="1284" w:type="dxa"/>
            <w:tcBorders>
              <w:top w:val="single" w:sz="4" w:space="0" w:color="auto"/>
            </w:tcBorders>
          </w:tcPr>
          <w:p w:rsidR="00DF5C1B" w:rsidRPr="00251E91" w:rsidRDefault="00DF5C1B" w:rsidP="003D5B00">
            <w:pPr>
              <w:tabs>
                <w:tab w:val="left" w:pos="671"/>
              </w:tabs>
              <w:jc w:val="right"/>
              <w:rPr>
                <w:b/>
              </w:rPr>
            </w:pPr>
            <w:r w:rsidRPr="00251E91">
              <w:rPr>
                <w:b/>
              </w:rPr>
              <w:t>31 Mar 2016</w:t>
            </w:r>
          </w:p>
        </w:tc>
        <w:tc>
          <w:tcPr>
            <w:tcW w:w="1418" w:type="dxa"/>
            <w:tcBorders>
              <w:top w:val="single" w:sz="4" w:space="0" w:color="auto"/>
            </w:tcBorders>
          </w:tcPr>
          <w:p w:rsidR="00DF5C1B" w:rsidRPr="00251E91" w:rsidRDefault="00DF5C1B" w:rsidP="003D5B00">
            <w:pPr>
              <w:jc w:val="right"/>
              <w:rPr>
                <w:b/>
              </w:rPr>
            </w:pPr>
            <w:r w:rsidRPr="00251E91">
              <w:rPr>
                <w:b/>
              </w:rPr>
              <w:t>31 Mar 2017</w:t>
            </w:r>
          </w:p>
        </w:tc>
        <w:tc>
          <w:tcPr>
            <w:tcW w:w="1418" w:type="dxa"/>
            <w:tcBorders>
              <w:top w:val="single" w:sz="4" w:space="0" w:color="auto"/>
            </w:tcBorders>
          </w:tcPr>
          <w:p w:rsidR="00DF5C1B" w:rsidRPr="00251E91" w:rsidRDefault="00DF5C1B" w:rsidP="003D5B00">
            <w:pPr>
              <w:jc w:val="right"/>
              <w:rPr>
                <w:b/>
              </w:rPr>
            </w:pPr>
            <w:r w:rsidRPr="00251E91">
              <w:rPr>
                <w:b/>
              </w:rPr>
              <w:t>31 Mar 2018</w:t>
            </w:r>
          </w:p>
        </w:tc>
        <w:tc>
          <w:tcPr>
            <w:tcW w:w="1405" w:type="dxa"/>
            <w:tcBorders>
              <w:top w:val="single" w:sz="4" w:space="0" w:color="auto"/>
            </w:tcBorders>
          </w:tcPr>
          <w:p w:rsidR="00DF5C1B" w:rsidRPr="00251E91" w:rsidRDefault="00DF5C1B" w:rsidP="003D5B00">
            <w:pPr>
              <w:ind w:right="-13"/>
              <w:jc w:val="right"/>
              <w:rPr>
                <w:b/>
              </w:rPr>
            </w:pPr>
            <w:r w:rsidRPr="00251E91">
              <w:rPr>
                <w:b/>
              </w:rPr>
              <w:t>31 Mar 2019</w:t>
            </w:r>
          </w:p>
        </w:tc>
      </w:tr>
      <w:tr w:rsidR="00DF5C1B" w:rsidRPr="00251E91" w:rsidTr="003D5B00">
        <w:tc>
          <w:tcPr>
            <w:tcW w:w="2204" w:type="dxa"/>
          </w:tcPr>
          <w:p w:rsidR="00DF5C1B" w:rsidRPr="005B473A" w:rsidRDefault="00DF5C1B" w:rsidP="003D5B00">
            <w:pPr>
              <w:rPr>
                <w:b/>
              </w:rPr>
            </w:pPr>
            <w:r w:rsidRPr="005B473A">
              <w:rPr>
                <w:b/>
              </w:rPr>
              <w:t xml:space="preserve"> </w:t>
            </w:r>
          </w:p>
        </w:tc>
        <w:tc>
          <w:tcPr>
            <w:tcW w:w="1284" w:type="dxa"/>
          </w:tcPr>
          <w:p w:rsidR="00DF5C1B" w:rsidRPr="00251E91" w:rsidRDefault="00DF5C1B" w:rsidP="003D5B00">
            <w:pPr>
              <w:tabs>
                <w:tab w:val="left" w:pos="671"/>
              </w:tabs>
              <w:jc w:val="center"/>
              <w:rPr>
                <w:b/>
              </w:rPr>
            </w:pPr>
            <w:r w:rsidRPr="00251E91">
              <w:rPr>
                <w:b/>
              </w:rPr>
              <w:t xml:space="preserve">        £m</w:t>
            </w:r>
          </w:p>
        </w:tc>
        <w:tc>
          <w:tcPr>
            <w:tcW w:w="1418" w:type="dxa"/>
          </w:tcPr>
          <w:p w:rsidR="00DF5C1B" w:rsidRPr="00251E91" w:rsidRDefault="00DF5C1B" w:rsidP="003D5B00">
            <w:pPr>
              <w:jc w:val="center"/>
              <w:rPr>
                <w:b/>
              </w:rPr>
            </w:pPr>
            <w:r w:rsidRPr="00251E91">
              <w:rPr>
                <w:b/>
              </w:rPr>
              <w:t xml:space="preserve">           £m</w:t>
            </w:r>
          </w:p>
        </w:tc>
        <w:tc>
          <w:tcPr>
            <w:tcW w:w="1418" w:type="dxa"/>
          </w:tcPr>
          <w:p w:rsidR="00DF5C1B" w:rsidRPr="00251E91" w:rsidRDefault="00DF5C1B" w:rsidP="003D5B00">
            <w:pPr>
              <w:jc w:val="center"/>
              <w:rPr>
                <w:b/>
              </w:rPr>
            </w:pPr>
            <w:r w:rsidRPr="00251E91">
              <w:rPr>
                <w:b/>
              </w:rPr>
              <w:t xml:space="preserve">          £m</w:t>
            </w:r>
          </w:p>
        </w:tc>
        <w:tc>
          <w:tcPr>
            <w:tcW w:w="1405" w:type="dxa"/>
          </w:tcPr>
          <w:p w:rsidR="00DF5C1B" w:rsidRPr="00251E91" w:rsidRDefault="00DF5C1B" w:rsidP="003D5B00">
            <w:pPr>
              <w:ind w:right="-13"/>
              <w:jc w:val="center"/>
              <w:rPr>
                <w:b/>
              </w:rPr>
            </w:pPr>
            <w:r w:rsidRPr="00251E91">
              <w:rPr>
                <w:b/>
              </w:rPr>
              <w:t xml:space="preserve">         £m</w:t>
            </w:r>
          </w:p>
        </w:tc>
      </w:tr>
      <w:tr w:rsidR="00DF5C1B" w:rsidRPr="00251E91" w:rsidTr="003D5B00">
        <w:tc>
          <w:tcPr>
            <w:tcW w:w="2204" w:type="dxa"/>
          </w:tcPr>
          <w:p w:rsidR="00DF5C1B" w:rsidRPr="005B473A" w:rsidRDefault="00DF5C1B" w:rsidP="003D5B00"/>
        </w:tc>
        <w:tc>
          <w:tcPr>
            <w:tcW w:w="1284" w:type="dxa"/>
          </w:tcPr>
          <w:p w:rsidR="00DF5C1B" w:rsidRPr="00251E91" w:rsidRDefault="00DF5C1B" w:rsidP="003D5B00">
            <w:pPr>
              <w:tabs>
                <w:tab w:val="left" w:pos="671"/>
              </w:tabs>
              <w:jc w:val="right"/>
            </w:pPr>
          </w:p>
        </w:tc>
        <w:tc>
          <w:tcPr>
            <w:tcW w:w="1418" w:type="dxa"/>
          </w:tcPr>
          <w:p w:rsidR="00DF5C1B" w:rsidRPr="00251E91" w:rsidRDefault="00DF5C1B" w:rsidP="003D5B00">
            <w:pPr>
              <w:jc w:val="right"/>
            </w:pPr>
          </w:p>
        </w:tc>
        <w:tc>
          <w:tcPr>
            <w:tcW w:w="1418" w:type="dxa"/>
          </w:tcPr>
          <w:p w:rsidR="00DF5C1B" w:rsidRPr="00251E91" w:rsidRDefault="00DF5C1B" w:rsidP="003D5B00">
            <w:pPr>
              <w:jc w:val="right"/>
            </w:pPr>
          </w:p>
        </w:tc>
        <w:tc>
          <w:tcPr>
            <w:tcW w:w="1405" w:type="dxa"/>
          </w:tcPr>
          <w:p w:rsidR="00DF5C1B" w:rsidRPr="00251E91" w:rsidRDefault="00DF5C1B" w:rsidP="003D5B00">
            <w:pPr>
              <w:ind w:right="-13"/>
              <w:jc w:val="right"/>
            </w:pPr>
          </w:p>
        </w:tc>
      </w:tr>
      <w:tr w:rsidR="00DF5C1B" w:rsidRPr="00F63785" w:rsidTr="003D5B00">
        <w:tc>
          <w:tcPr>
            <w:tcW w:w="2204" w:type="dxa"/>
          </w:tcPr>
          <w:p w:rsidR="00DF5C1B" w:rsidRPr="005B473A" w:rsidRDefault="00DF5C1B" w:rsidP="003D5B00"/>
        </w:tc>
        <w:tc>
          <w:tcPr>
            <w:tcW w:w="1284" w:type="dxa"/>
          </w:tcPr>
          <w:p w:rsidR="00DF5C1B" w:rsidRPr="00F63785" w:rsidRDefault="00DF5C1B" w:rsidP="003D5B00">
            <w:pPr>
              <w:tabs>
                <w:tab w:val="left" w:pos="671"/>
              </w:tabs>
              <w:jc w:val="right"/>
              <w:rPr>
                <w:highlight w:val="yellow"/>
              </w:rPr>
            </w:pPr>
          </w:p>
        </w:tc>
        <w:tc>
          <w:tcPr>
            <w:tcW w:w="1418" w:type="dxa"/>
          </w:tcPr>
          <w:p w:rsidR="00DF5C1B" w:rsidRPr="00F63785" w:rsidRDefault="00DF5C1B" w:rsidP="003D5B00">
            <w:pPr>
              <w:jc w:val="right"/>
              <w:rPr>
                <w:highlight w:val="yellow"/>
              </w:rPr>
            </w:pPr>
          </w:p>
        </w:tc>
        <w:tc>
          <w:tcPr>
            <w:tcW w:w="1418" w:type="dxa"/>
          </w:tcPr>
          <w:p w:rsidR="00DF5C1B" w:rsidRPr="00F63785" w:rsidRDefault="00DF5C1B" w:rsidP="003D5B00">
            <w:pPr>
              <w:jc w:val="right"/>
              <w:rPr>
                <w:highlight w:val="yellow"/>
              </w:rPr>
            </w:pPr>
          </w:p>
        </w:tc>
        <w:tc>
          <w:tcPr>
            <w:tcW w:w="1405" w:type="dxa"/>
          </w:tcPr>
          <w:p w:rsidR="00DF5C1B" w:rsidRPr="00F63785" w:rsidRDefault="00DF5C1B" w:rsidP="003D5B00">
            <w:pPr>
              <w:ind w:right="-13"/>
              <w:jc w:val="right"/>
              <w:rPr>
                <w:highlight w:val="yellow"/>
              </w:rPr>
            </w:pPr>
          </w:p>
        </w:tc>
      </w:tr>
      <w:tr w:rsidR="00DF5C1B" w:rsidRPr="00251E91" w:rsidTr="003D5B00">
        <w:tc>
          <w:tcPr>
            <w:tcW w:w="2204" w:type="dxa"/>
          </w:tcPr>
          <w:p w:rsidR="00DF5C1B" w:rsidRPr="00F861B8" w:rsidRDefault="00DF5C1B" w:rsidP="003D5B00">
            <w:pPr>
              <w:rPr>
                <w:b/>
              </w:rPr>
            </w:pPr>
            <w:r w:rsidRPr="00F861B8">
              <w:rPr>
                <w:b/>
              </w:rPr>
              <w:t>Borrowing CFR</w:t>
            </w:r>
          </w:p>
        </w:tc>
        <w:tc>
          <w:tcPr>
            <w:tcW w:w="1284" w:type="dxa"/>
          </w:tcPr>
          <w:p w:rsidR="00DF5C1B" w:rsidRPr="00251E91" w:rsidRDefault="00DF5C1B" w:rsidP="003D5B00">
            <w:pPr>
              <w:tabs>
                <w:tab w:val="left" w:pos="671"/>
              </w:tabs>
              <w:jc w:val="right"/>
              <w:rPr>
                <w:b/>
              </w:rPr>
            </w:pPr>
            <w:r w:rsidRPr="00251E91">
              <w:rPr>
                <w:b/>
              </w:rPr>
              <w:t>871</w:t>
            </w:r>
          </w:p>
        </w:tc>
        <w:tc>
          <w:tcPr>
            <w:tcW w:w="1418" w:type="dxa"/>
          </w:tcPr>
          <w:p w:rsidR="00DF5C1B" w:rsidRPr="00251E91" w:rsidRDefault="00DF5C1B" w:rsidP="003D5B00">
            <w:pPr>
              <w:jc w:val="right"/>
              <w:rPr>
                <w:b/>
              </w:rPr>
            </w:pPr>
            <w:r w:rsidRPr="00251E91">
              <w:rPr>
                <w:b/>
              </w:rPr>
              <w:t>893</w:t>
            </w:r>
          </w:p>
        </w:tc>
        <w:tc>
          <w:tcPr>
            <w:tcW w:w="1418" w:type="dxa"/>
          </w:tcPr>
          <w:p w:rsidR="00DF5C1B" w:rsidRPr="00251E91" w:rsidRDefault="00DF5C1B" w:rsidP="003D5B00">
            <w:pPr>
              <w:jc w:val="right"/>
              <w:rPr>
                <w:b/>
              </w:rPr>
            </w:pPr>
            <w:r w:rsidRPr="00251E91">
              <w:rPr>
                <w:b/>
              </w:rPr>
              <w:t>882</w:t>
            </w:r>
          </w:p>
        </w:tc>
        <w:tc>
          <w:tcPr>
            <w:tcW w:w="1405" w:type="dxa"/>
          </w:tcPr>
          <w:p w:rsidR="00DF5C1B" w:rsidRPr="00251E91" w:rsidRDefault="00DF5C1B" w:rsidP="003D5B00">
            <w:pPr>
              <w:ind w:right="-13"/>
              <w:jc w:val="right"/>
              <w:rPr>
                <w:b/>
              </w:rPr>
            </w:pPr>
            <w:r w:rsidRPr="00251E91">
              <w:rPr>
                <w:b/>
              </w:rPr>
              <w:t>875</w:t>
            </w:r>
          </w:p>
        </w:tc>
      </w:tr>
      <w:tr w:rsidR="00DF5C1B" w:rsidRPr="00F63785" w:rsidTr="003D5B00">
        <w:tc>
          <w:tcPr>
            <w:tcW w:w="2204" w:type="dxa"/>
            <w:tcBorders>
              <w:bottom w:val="nil"/>
            </w:tcBorders>
          </w:tcPr>
          <w:p w:rsidR="00DF5C1B" w:rsidRPr="001143BB" w:rsidRDefault="00DF5C1B" w:rsidP="003D5B00">
            <w:pPr>
              <w:rPr>
                <w:highlight w:val="yellow"/>
              </w:rPr>
            </w:pPr>
          </w:p>
        </w:tc>
        <w:tc>
          <w:tcPr>
            <w:tcW w:w="1284" w:type="dxa"/>
            <w:tcBorders>
              <w:bottom w:val="nil"/>
            </w:tcBorders>
          </w:tcPr>
          <w:p w:rsidR="00DF5C1B" w:rsidRPr="00F63785" w:rsidRDefault="00DF5C1B" w:rsidP="003D5B00">
            <w:pPr>
              <w:tabs>
                <w:tab w:val="left" w:pos="671"/>
              </w:tabs>
              <w:jc w:val="right"/>
              <w:rPr>
                <w:highlight w:val="yellow"/>
              </w:rPr>
            </w:pPr>
          </w:p>
        </w:tc>
        <w:tc>
          <w:tcPr>
            <w:tcW w:w="1418" w:type="dxa"/>
            <w:tcBorders>
              <w:bottom w:val="nil"/>
            </w:tcBorders>
          </w:tcPr>
          <w:p w:rsidR="00DF5C1B" w:rsidRPr="00F63785" w:rsidRDefault="00DF5C1B" w:rsidP="003D5B00">
            <w:pPr>
              <w:jc w:val="right"/>
              <w:rPr>
                <w:highlight w:val="yellow"/>
              </w:rPr>
            </w:pPr>
          </w:p>
        </w:tc>
        <w:tc>
          <w:tcPr>
            <w:tcW w:w="1418" w:type="dxa"/>
            <w:tcBorders>
              <w:bottom w:val="nil"/>
            </w:tcBorders>
          </w:tcPr>
          <w:p w:rsidR="00DF5C1B" w:rsidRPr="00F63785" w:rsidRDefault="00DF5C1B" w:rsidP="003D5B00">
            <w:pPr>
              <w:jc w:val="right"/>
              <w:rPr>
                <w:highlight w:val="yellow"/>
              </w:rPr>
            </w:pPr>
          </w:p>
        </w:tc>
        <w:tc>
          <w:tcPr>
            <w:tcW w:w="1405" w:type="dxa"/>
            <w:tcBorders>
              <w:bottom w:val="nil"/>
            </w:tcBorders>
          </w:tcPr>
          <w:p w:rsidR="00DF5C1B" w:rsidRPr="00F63785" w:rsidRDefault="00DF5C1B" w:rsidP="003D5B00">
            <w:pPr>
              <w:ind w:right="-13"/>
              <w:jc w:val="right"/>
              <w:rPr>
                <w:highlight w:val="yellow"/>
              </w:rPr>
            </w:pPr>
          </w:p>
        </w:tc>
      </w:tr>
      <w:tr w:rsidR="00DF5C1B" w:rsidRPr="00251E91" w:rsidTr="003D5B00">
        <w:tc>
          <w:tcPr>
            <w:tcW w:w="2204" w:type="dxa"/>
            <w:tcBorders>
              <w:top w:val="nil"/>
              <w:bottom w:val="single" w:sz="4" w:space="0" w:color="auto"/>
            </w:tcBorders>
          </w:tcPr>
          <w:p w:rsidR="00DF5C1B" w:rsidRPr="00F0114F" w:rsidRDefault="00DF5C1B" w:rsidP="003D5B00">
            <w:r w:rsidRPr="00F0114F">
              <w:t>Loans Borrowed (31March estimate)</w:t>
            </w:r>
          </w:p>
        </w:tc>
        <w:tc>
          <w:tcPr>
            <w:tcW w:w="1284" w:type="dxa"/>
            <w:tcBorders>
              <w:top w:val="nil"/>
              <w:bottom w:val="single" w:sz="4" w:space="0" w:color="auto"/>
            </w:tcBorders>
          </w:tcPr>
          <w:p w:rsidR="00DF5C1B" w:rsidRPr="00251E91" w:rsidRDefault="00DF5C1B" w:rsidP="003D5B00">
            <w:pPr>
              <w:tabs>
                <w:tab w:val="left" w:pos="671"/>
              </w:tabs>
              <w:jc w:val="right"/>
            </w:pPr>
            <w:r w:rsidRPr="00251E91">
              <w:t>1,039</w:t>
            </w:r>
          </w:p>
        </w:tc>
        <w:tc>
          <w:tcPr>
            <w:tcW w:w="1418" w:type="dxa"/>
            <w:tcBorders>
              <w:top w:val="nil"/>
              <w:bottom w:val="single" w:sz="4" w:space="0" w:color="auto"/>
            </w:tcBorders>
          </w:tcPr>
          <w:p w:rsidR="00DF5C1B" w:rsidRPr="00251E91" w:rsidRDefault="00DF5C1B" w:rsidP="003D5B00">
            <w:pPr>
              <w:jc w:val="right"/>
            </w:pPr>
            <w:r w:rsidRPr="00251E91">
              <w:t>1,058</w:t>
            </w:r>
          </w:p>
        </w:tc>
        <w:tc>
          <w:tcPr>
            <w:tcW w:w="1418" w:type="dxa"/>
            <w:tcBorders>
              <w:top w:val="nil"/>
              <w:bottom w:val="single" w:sz="4" w:space="0" w:color="auto"/>
            </w:tcBorders>
          </w:tcPr>
          <w:p w:rsidR="00DF5C1B" w:rsidRPr="00251E91" w:rsidRDefault="00DF5C1B" w:rsidP="003D5B00">
            <w:pPr>
              <w:jc w:val="right"/>
            </w:pPr>
            <w:r w:rsidRPr="00251E91">
              <w:t>1,044</w:t>
            </w:r>
          </w:p>
        </w:tc>
        <w:tc>
          <w:tcPr>
            <w:tcW w:w="1405" w:type="dxa"/>
            <w:tcBorders>
              <w:top w:val="nil"/>
              <w:bottom w:val="single" w:sz="4" w:space="0" w:color="auto"/>
            </w:tcBorders>
          </w:tcPr>
          <w:p w:rsidR="00DF5C1B" w:rsidRPr="00251E91" w:rsidRDefault="00DF5C1B" w:rsidP="003D5B00">
            <w:pPr>
              <w:ind w:right="-13"/>
              <w:jc w:val="right"/>
            </w:pPr>
            <w:r w:rsidRPr="00251E91">
              <w:t>1,031</w:t>
            </w:r>
          </w:p>
        </w:tc>
      </w:tr>
      <w:tr w:rsidR="00DF5C1B" w:rsidRPr="00251E91" w:rsidTr="003D5B00">
        <w:trPr>
          <w:trHeight w:val="329"/>
        </w:trPr>
        <w:tc>
          <w:tcPr>
            <w:tcW w:w="2204" w:type="dxa"/>
            <w:tcBorders>
              <w:top w:val="single" w:sz="4" w:space="0" w:color="auto"/>
            </w:tcBorders>
          </w:tcPr>
          <w:p w:rsidR="00DF5C1B" w:rsidRPr="00F0114F" w:rsidRDefault="00DF5C1B" w:rsidP="003D5B00"/>
        </w:tc>
        <w:tc>
          <w:tcPr>
            <w:tcW w:w="1284" w:type="dxa"/>
            <w:tcBorders>
              <w:top w:val="single" w:sz="4" w:space="0" w:color="auto"/>
            </w:tcBorders>
          </w:tcPr>
          <w:p w:rsidR="00DF5C1B" w:rsidRPr="00251E91" w:rsidRDefault="00DF5C1B" w:rsidP="003D5B00">
            <w:pPr>
              <w:tabs>
                <w:tab w:val="left" w:pos="671"/>
              </w:tabs>
              <w:jc w:val="right"/>
            </w:pPr>
          </w:p>
        </w:tc>
        <w:tc>
          <w:tcPr>
            <w:tcW w:w="1418" w:type="dxa"/>
            <w:tcBorders>
              <w:top w:val="single" w:sz="4" w:space="0" w:color="auto"/>
            </w:tcBorders>
          </w:tcPr>
          <w:p w:rsidR="00DF5C1B" w:rsidRPr="00251E91" w:rsidRDefault="00DF5C1B" w:rsidP="003D5B00">
            <w:pPr>
              <w:jc w:val="right"/>
            </w:pPr>
          </w:p>
        </w:tc>
        <w:tc>
          <w:tcPr>
            <w:tcW w:w="1418" w:type="dxa"/>
            <w:tcBorders>
              <w:top w:val="single" w:sz="4" w:space="0" w:color="auto"/>
            </w:tcBorders>
          </w:tcPr>
          <w:p w:rsidR="00DF5C1B" w:rsidRPr="00251E91" w:rsidRDefault="00DF5C1B" w:rsidP="003D5B00">
            <w:pPr>
              <w:jc w:val="right"/>
            </w:pPr>
          </w:p>
        </w:tc>
        <w:tc>
          <w:tcPr>
            <w:tcW w:w="1405" w:type="dxa"/>
            <w:tcBorders>
              <w:top w:val="single" w:sz="4" w:space="0" w:color="auto"/>
            </w:tcBorders>
          </w:tcPr>
          <w:p w:rsidR="00DF5C1B" w:rsidRPr="00251E91" w:rsidRDefault="00DF5C1B" w:rsidP="003D5B00">
            <w:pPr>
              <w:ind w:right="-13"/>
              <w:jc w:val="right"/>
            </w:pPr>
          </w:p>
        </w:tc>
      </w:tr>
      <w:tr w:rsidR="00DF5C1B" w:rsidRPr="00251E91" w:rsidTr="003D5B00">
        <w:tc>
          <w:tcPr>
            <w:tcW w:w="2204" w:type="dxa"/>
          </w:tcPr>
          <w:p w:rsidR="00DF5C1B" w:rsidRPr="002338FB" w:rsidRDefault="00DF5C1B" w:rsidP="003D5B00">
            <w:pPr>
              <w:rPr>
                <w:b/>
              </w:rPr>
            </w:pPr>
            <w:r w:rsidRPr="002338FB">
              <w:rPr>
                <w:b/>
              </w:rPr>
              <w:t>Borrowing Above CFR</w:t>
            </w:r>
          </w:p>
        </w:tc>
        <w:tc>
          <w:tcPr>
            <w:tcW w:w="1284" w:type="dxa"/>
          </w:tcPr>
          <w:p w:rsidR="00DF5C1B" w:rsidRPr="00251E91" w:rsidRDefault="00DF5C1B" w:rsidP="003D5B00">
            <w:pPr>
              <w:tabs>
                <w:tab w:val="left" w:pos="671"/>
              </w:tabs>
              <w:jc w:val="right"/>
              <w:rPr>
                <w:b/>
              </w:rPr>
            </w:pPr>
            <w:r w:rsidRPr="00251E91">
              <w:rPr>
                <w:b/>
              </w:rPr>
              <w:t>168</w:t>
            </w:r>
          </w:p>
        </w:tc>
        <w:tc>
          <w:tcPr>
            <w:tcW w:w="1418" w:type="dxa"/>
          </w:tcPr>
          <w:p w:rsidR="00DF5C1B" w:rsidRPr="00251E91" w:rsidRDefault="00DF5C1B" w:rsidP="003D5B00">
            <w:pPr>
              <w:jc w:val="right"/>
              <w:rPr>
                <w:b/>
              </w:rPr>
            </w:pPr>
            <w:r w:rsidRPr="00251E91">
              <w:rPr>
                <w:b/>
              </w:rPr>
              <w:t>165</w:t>
            </w:r>
          </w:p>
        </w:tc>
        <w:tc>
          <w:tcPr>
            <w:tcW w:w="1418" w:type="dxa"/>
          </w:tcPr>
          <w:p w:rsidR="00DF5C1B" w:rsidRPr="00251E91" w:rsidRDefault="00DF5C1B" w:rsidP="003D5B00">
            <w:pPr>
              <w:jc w:val="right"/>
              <w:rPr>
                <w:b/>
              </w:rPr>
            </w:pPr>
            <w:r w:rsidRPr="00251E91">
              <w:rPr>
                <w:b/>
              </w:rPr>
              <w:t>162</w:t>
            </w:r>
          </w:p>
        </w:tc>
        <w:tc>
          <w:tcPr>
            <w:tcW w:w="1405" w:type="dxa"/>
          </w:tcPr>
          <w:p w:rsidR="00DF5C1B" w:rsidRPr="00251E91" w:rsidRDefault="00DF5C1B" w:rsidP="003D5B00">
            <w:pPr>
              <w:ind w:right="-13"/>
              <w:jc w:val="right"/>
              <w:rPr>
                <w:b/>
              </w:rPr>
            </w:pPr>
            <w:r w:rsidRPr="00251E91">
              <w:rPr>
                <w:b/>
              </w:rPr>
              <w:t>156</w:t>
            </w:r>
          </w:p>
        </w:tc>
      </w:tr>
      <w:tr w:rsidR="00DF5C1B" w:rsidRPr="00251E91" w:rsidTr="003D5B00">
        <w:tc>
          <w:tcPr>
            <w:tcW w:w="2204" w:type="dxa"/>
          </w:tcPr>
          <w:p w:rsidR="00DF5C1B" w:rsidRPr="002338FB" w:rsidRDefault="00DF5C1B" w:rsidP="003D5B00"/>
        </w:tc>
        <w:tc>
          <w:tcPr>
            <w:tcW w:w="1284" w:type="dxa"/>
          </w:tcPr>
          <w:p w:rsidR="00DF5C1B" w:rsidRPr="00251E91" w:rsidRDefault="00DF5C1B" w:rsidP="003D5B00">
            <w:pPr>
              <w:tabs>
                <w:tab w:val="left" w:pos="671"/>
              </w:tabs>
              <w:jc w:val="right"/>
            </w:pPr>
          </w:p>
        </w:tc>
        <w:tc>
          <w:tcPr>
            <w:tcW w:w="1418" w:type="dxa"/>
          </w:tcPr>
          <w:p w:rsidR="00DF5C1B" w:rsidRPr="00251E91" w:rsidRDefault="00DF5C1B" w:rsidP="003D5B00">
            <w:pPr>
              <w:jc w:val="right"/>
            </w:pPr>
          </w:p>
        </w:tc>
        <w:tc>
          <w:tcPr>
            <w:tcW w:w="1418" w:type="dxa"/>
          </w:tcPr>
          <w:p w:rsidR="00DF5C1B" w:rsidRPr="00251E91" w:rsidRDefault="00DF5C1B" w:rsidP="003D5B00">
            <w:pPr>
              <w:jc w:val="right"/>
            </w:pPr>
          </w:p>
        </w:tc>
        <w:tc>
          <w:tcPr>
            <w:tcW w:w="1405" w:type="dxa"/>
          </w:tcPr>
          <w:p w:rsidR="00DF5C1B" w:rsidRPr="00251E91" w:rsidRDefault="00DF5C1B" w:rsidP="003D5B00">
            <w:pPr>
              <w:ind w:right="-13"/>
              <w:jc w:val="right"/>
            </w:pPr>
          </w:p>
        </w:tc>
      </w:tr>
      <w:tr w:rsidR="00DF5C1B" w:rsidRPr="00251E91" w:rsidTr="003D5B00">
        <w:tc>
          <w:tcPr>
            <w:tcW w:w="2204" w:type="dxa"/>
          </w:tcPr>
          <w:p w:rsidR="00DF5C1B" w:rsidRPr="002338FB" w:rsidRDefault="00DF5C1B" w:rsidP="003D5B00">
            <w:pPr>
              <w:rPr>
                <w:i/>
              </w:rPr>
            </w:pPr>
            <w:r w:rsidRPr="002338FB">
              <w:rPr>
                <w:i/>
              </w:rPr>
              <w:t>Comprising:</w:t>
            </w:r>
          </w:p>
        </w:tc>
        <w:tc>
          <w:tcPr>
            <w:tcW w:w="1284" w:type="dxa"/>
          </w:tcPr>
          <w:p w:rsidR="00DF5C1B" w:rsidRPr="00251E91" w:rsidRDefault="00DF5C1B" w:rsidP="003D5B00">
            <w:pPr>
              <w:tabs>
                <w:tab w:val="left" w:pos="671"/>
              </w:tabs>
              <w:jc w:val="right"/>
            </w:pPr>
          </w:p>
        </w:tc>
        <w:tc>
          <w:tcPr>
            <w:tcW w:w="1418" w:type="dxa"/>
          </w:tcPr>
          <w:p w:rsidR="00DF5C1B" w:rsidRPr="00251E91" w:rsidRDefault="00DF5C1B" w:rsidP="003D5B00">
            <w:pPr>
              <w:jc w:val="right"/>
            </w:pPr>
          </w:p>
        </w:tc>
        <w:tc>
          <w:tcPr>
            <w:tcW w:w="1418" w:type="dxa"/>
          </w:tcPr>
          <w:p w:rsidR="00DF5C1B" w:rsidRPr="00251E91" w:rsidRDefault="00DF5C1B" w:rsidP="003D5B00">
            <w:pPr>
              <w:jc w:val="right"/>
            </w:pPr>
          </w:p>
        </w:tc>
        <w:tc>
          <w:tcPr>
            <w:tcW w:w="1405" w:type="dxa"/>
          </w:tcPr>
          <w:p w:rsidR="00DF5C1B" w:rsidRPr="00251E91" w:rsidRDefault="00DF5C1B" w:rsidP="003D5B00">
            <w:pPr>
              <w:ind w:right="-13"/>
              <w:jc w:val="right"/>
            </w:pPr>
          </w:p>
        </w:tc>
      </w:tr>
      <w:tr w:rsidR="00DF5C1B" w:rsidRPr="00251E91" w:rsidDel="00272267" w:rsidTr="003D5B00">
        <w:tc>
          <w:tcPr>
            <w:tcW w:w="2204" w:type="dxa"/>
          </w:tcPr>
          <w:p w:rsidR="00DF5C1B" w:rsidRPr="002338FB" w:rsidRDefault="00DF5C1B" w:rsidP="003D5B00">
            <w:r>
              <w:t>Premiums</w:t>
            </w:r>
          </w:p>
        </w:tc>
        <w:tc>
          <w:tcPr>
            <w:tcW w:w="1284" w:type="dxa"/>
          </w:tcPr>
          <w:p w:rsidR="00DF5C1B" w:rsidRPr="00251E91" w:rsidRDefault="00DF5C1B" w:rsidP="003D5B00">
            <w:pPr>
              <w:tabs>
                <w:tab w:val="left" w:pos="671"/>
              </w:tabs>
              <w:jc w:val="right"/>
            </w:pPr>
            <w:r w:rsidRPr="00251E91">
              <w:t>48</w:t>
            </w:r>
          </w:p>
        </w:tc>
        <w:tc>
          <w:tcPr>
            <w:tcW w:w="1418" w:type="dxa"/>
          </w:tcPr>
          <w:p w:rsidR="00DF5C1B" w:rsidRPr="00251E91" w:rsidDel="00272267" w:rsidRDefault="00DF5C1B" w:rsidP="003D5B00">
            <w:pPr>
              <w:jc w:val="right"/>
            </w:pPr>
            <w:r w:rsidRPr="00251E91">
              <w:t>45</w:t>
            </w:r>
          </w:p>
        </w:tc>
        <w:tc>
          <w:tcPr>
            <w:tcW w:w="1418" w:type="dxa"/>
          </w:tcPr>
          <w:p w:rsidR="00DF5C1B" w:rsidRPr="00251E91" w:rsidDel="00272267" w:rsidRDefault="00DF5C1B" w:rsidP="003D5B00">
            <w:pPr>
              <w:jc w:val="right"/>
            </w:pPr>
            <w:r w:rsidRPr="00251E91">
              <w:t>42</w:t>
            </w:r>
          </w:p>
        </w:tc>
        <w:tc>
          <w:tcPr>
            <w:tcW w:w="1405" w:type="dxa"/>
          </w:tcPr>
          <w:p w:rsidR="00DF5C1B" w:rsidRPr="00251E91" w:rsidDel="00272267" w:rsidRDefault="00DF5C1B" w:rsidP="003D5B00">
            <w:pPr>
              <w:ind w:right="-13"/>
              <w:jc w:val="right"/>
            </w:pPr>
            <w:r w:rsidRPr="00251E91">
              <w:t>36</w:t>
            </w:r>
          </w:p>
        </w:tc>
      </w:tr>
      <w:tr w:rsidR="00DF5C1B" w:rsidRPr="00251E91" w:rsidTr="003D5B00">
        <w:tc>
          <w:tcPr>
            <w:tcW w:w="2204" w:type="dxa"/>
          </w:tcPr>
          <w:p w:rsidR="00DF5C1B" w:rsidRPr="00F0114F" w:rsidRDefault="00DF5C1B" w:rsidP="003D5B00">
            <w:r w:rsidRPr="00F0114F">
              <w:t>Shared Investment Scheme</w:t>
            </w:r>
          </w:p>
        </w:tc>
        <w:tc>
          <w:tcPr>
            <w:tcW w:w="1284" w:type="dxa"/>
          </w:tcPr>
          <w:p w:rsidR="00DF5C1B" w:rsidRPr="00251E91" w:rsidRDefault="00DF5C1B" w:rsidP="003D5B00">
            <w:pPr>
              <w:tabs>
                <w:tab w:val="left" w:pos="671"/>
              </w:tabs>
              <w:jc w:val="right"/>
            </w:pPr>
            <w:r w:rsidRPr="00251E91">
              <w:t>120</w:t>
            </w:r>
          </w:p>
        </w:tc>
        <w:tc>
          <w:tcPr>
            <w:tcW w:w="1418" w:type="dxa"/>
          </w:tcPr>
          <w:p w:rsidR="00DF5C1B" w:rsidRPr="00251E91" w:rsidRDefault="00DF5C1B" w:rsidP="003D5B00">
            <w:pPr>
              <w:jc w:val="right"/>
            </w:pPr>
            <w:r w:rsidRPr="00251E91">
              <w:t>120</w:t>
            </w:r>
          </w:p>
        </w:tc>
        <w:tc>
          <w:tcPr>
            <w:tcW w:w="1418" w:type="dxa"/>
          </w:tcPr>
          <w:p w:rsidR="00DF5C1B" w:rsidRPr="00251E91" w:rsidRDefault="00DF5C1B" w:rsidP="003D5B00">
            <w:pPr>
              <w:jc w:val="right"/>
            </w:pPr>
            <w:r w:rsidRPr="00251E91">
              <w:t>120</w:t>
            </w:r>
          </w:p>
        </w:tc>
        <w:tc>
          <w:tcPr>
            <w:tcW w:w="1405" w:type="dxa"/>
          </w:tcPr>
          <w:p w:rsidR="00DF5C1B" w:rsidRPr="00251E91" w:rsidRDefault="00DF5C1B" w:rsidP="003D5B00">
            <w:pPr>
              <w:ind w:right="-13"/>
              <w:jc w:val="right"/>
            </w:pPr>
            <w:r w:rsidRPr="00251E91">
              <w:t>120</w:t>
            </w:r>
          </w:p>
        </w:tc>
      </w:tr>
      <w:tr w:rsidR="00DF5C1B" w:rsidRPr="00251E91" w:rsidTr="003D5B00">
        <w:tc>
          <w:tcPr>
            <w:tcW w:w="2204" w:type="dxa"/>
            <w:tcBorders>
              <w:bottom w:val="single" w:sz="4" w:space="0" w:color="auto"/>
            </w:tcBorders>
          </w:tcPr>
          <w:p w:rsidR="00DF5C1B" w:rsidRPr="00F861B8" w:rsidRDefault="00DF5C1B" w:rsidP="003D5B00">
            <w:pPr>
              <w:rPr>
                <w:highlight w:val="yellow"/>
              </w:rPr>
            </w:pPr>
            <w:r w:rsidRPr="00F0114F">
              <w:rPr>
                <w:b/>
              </w:rPr>
              <w:t>Total</w:t>
            </w:r>
          </w:p>
        </w:tc>
        <w:tc>
          <w:tcPr>
            <w:tcW w:w="1284" w:type="dxa"/>
            <w:tcBorders>
              <w:bottom w:val="single" w:sz="4" w:space="0" w:color="auto"/>
            </w:tcBorders>
          </w:tcPr>
          <w:p w:rsidR="00DF5C1B" w:rsidRPr="00251E91" w:rsidRDefault="00DF5C1B" w:rsidP="003D5B00">
            <w:pPr>
              <w:tabs>
                <w:tab w:val="left" w:pos="671"/>
              </w:tabs>
              <w:jc w:val="right"/>
            </w:pPr>
            <w:r w:rsidRPr="00251E91">
              <w:rPr>
                <w:b/>
              </w:rPr>
              <w:t>168</w:t>
            </w:r>
          </w:p>
        </w:tc>
        <w:tc>
          <w:tcPr>
            <w:tcW w:w="1418" w:type="dxa"/>
            <w:tcBorders>
              <w:bottom w:val="single" w:sz="4" w:space="0" w:color="auto"/>
            </w:tcBorders>
          </w:tcPr>
          <w:p w:rsidR="00DF5C1B" w:rsidRPr="00251E91" w:rsidRDefault="00DF5C1B" w:rsidP="003D5B00">
            <w:pPr>
              <w:jc w:val="right"/>
            </w:pPr>
            <w:r w:rsidRPr="00251E91">
              <w:rPr>
                <w:b/>
              </w:rPr>
              <w:t>165</w:t>
            </w:r>
          </w:p>
        </w:tc>
        <w:tc>
          <w:tcPr>
            <w:tcW w:w="1418" w:type="dxa"/>
            <w:tcBorders>
              <w:bottom w:val="single" w:sz="4" w:space="0" w:color="auto"/>
            </w:tcBorders>
          </w:tcPr>
          <w:p w:rsidR="00DF5C1B" w:rsidRPr="00251E91" w:rsidRDefault="00DF5C1B" w:rsidP="003D5B00">
            <w:pPr>
              <w:jc w:val="right"/>
            </w:pPr>
            <w:r w:rsidRPr="00251E91">
              <w:rPr>
                <w:b/>
              </w:rPr>
              <w:t>162</w:t>
            </w:r>
          </w:p>
        </w:tc>
        <w:tc>
          <w:tcPr>
            <w:tcW w:w="1405" w:type="dxa"/>
            <w:tcBorders>
              <w:bottom w:val="single" w:sz="4" w:space="0" w:color="auto"/>
            </w:tcBorders>
          </w:tcPr>
          <w:p w:rsidR="00DF5C1B" w:rsidRPr="00251E91" w:rsidRDefault="00DF5C1B" w:rsidP="003D5B00">
            <w:pPr>
              <w:ind w:right="-13"/>
              <w:jc w:val="right"/>
            </w:pPr>
            <w:r w:rsidRPr="00251E91">
              <w:rPr>
                <w:b/>
              </w:rPr>
              <w:t>156</w:t>
            </w:r>
          </w:p>
        </w:tc>
      </w:tr>
    </w:tbl>
    <w:p w:rsidR="00A2720C" w:rsidRPr="00C660FA" w:rsidRDefault="00A2720C" w:rsidP="00A2720C"/>
    <w:p w:rsidR="00650616" w:rsidRPr="001143BB" w:rsidRDefault="00650616" w:rsidP="00D635B5">
      <w:pPr>
        <w:jc w:val="both"/>
        <w:rPr>
          <w:highlight w:val="yellow"/>
        </w:rPr>
      </w:pPr>
      <w:r w:rsidRPr="00C660FA">
        <w:lastRenderedPageBreak/>
        <w:t xml:space="preserve">The ratio of gross debt to capital financing requirement shows that gross debt is higher than the capital financing requirement. This is because the shared investment scheme </w:t>
      </w:r>
      <w:r w:rsidR="00277CAC">
        <w:t>and the replacement overdraft facility are</w:t>
      </w:r>
      <w:r w:rsidRPr="00C660FA">
        <w:t xml:space="preserve"> currently accounted for as borrowing but not counted against the capital financing requirement.</w:t>
      </w:r>
    </w:p>
    <w:p w:rsidR="0035055B" w:rsidRPr="001143BB" w:rsidRDefault="0035055B" w:rsidP="0035055B">
      <w:pPr>
        <w:rPr>
          <w:highlight w:val="yellow"/>
        </w:rPr>
      </w:pPr>
    </w:p>
    <w:p w:rsidR="009214FB" w:rsidRDefault="009214FB" w:rsidP="0035055B">
      <w:pPr>
        <w:rPr>
          <w:b/>
        </w:rPr>
      </w:pPr>
      <w:r w:rsidRPr="009214FB">
        <w:rPr>
          <w:b/>
        </w:rPr>
        <w:t>Treasury Management Indicators</w:t>
      </w:r>
      <w:r>
        <w:rPr>
          <w:b/>
        </w:rPr>
        <w:br/>
      </w:r>
    </w:p>
    <w:p w:rsidR="009214FB" w:rsidRPr="009214FB" w:rsidRDefault="009214FB" w:rsidP="0035055B">
      <w:pPr>
        <w:rPr>
          <w:b/>
        </w:rPr>
      </w:pPr>
    </w:p>
    <w:p w:rsidR="009F74AC" w:rsidRDefault="009F74AC" w:rsidP="009F74AC">
      <w:pPr>
        <w:pStyle w:val="ListParagraph"/>
        <w:spacing w:after="200" w:line="276" w:lineRule="auto"/>
        <w:ind w:left="0"/>
        <w:rPr>
          <w:b/>
          <w:color w:val="000000"/>
        </w:rPr>
      </w:pPr>
      <w:r w:rsidRPr="009214FB">
        <w:rPr>
          <w:b/>
          <w:color w:val="000000"/>
        </w:rPr>
        <w:t>Interest rate exposure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1809"/>
        <w:gridCol w:w="2000"/>
      </w:tblGrid>
      <w:tr w:rsidR="00217C4B" w:rsidTr="00F96065">
        <w:tc>
          <w:tcPr>
            <w:tcW w:w="5353" w:type="dxa"/>
          </w:tcPr>
          <w:p w:rsidR="00217C4B" w:rsidRDefault="009E48A6">
            <w:r w:rsidRPr="009E48A6">
              <w:rPr>
                <w:color w:val="000000"/>
              </w:rPr>
              <w:t xml:space="preserve">In order to control interest rate risk the </w:t>
            </w:r>
            <w:r w:rsidR="009A19CB">
              <w:rPr>
                <w:color w:val="000000"/>
              </w:rPr>
              <w:t>County Council</w:t>
            </w:r>
            <w:r w:rsidR="009A19CB" w:rsidRPr="009E48A6">
              <w:rPr>
                <w:color w:val="000000"/>
              </w:rPr>
              <w:t xml:space="preserve"> </w:t>
            </w:r>
            <w:r w:rsidRPr="009E48A6">
              <w:rPr>
                <w:color w:val="000000"/>
              </w:rPr>
              <w:t xml:space="preserve">measures its exposure to interest rate movements. These indicators place limits on the overall amount of risk the </w:t>
            </w:r>
            <w:r w:rsidR="00043461">
              <w:rPr>
                <w:color w:val="000000"/>
              </w:rPr>
              <w:t>c</w:t>
            </w:r>
            <w:r w:rsidR="00F25AD0">
              <w:rPr>
                <w:color w:val="000000"/>
              </w:rPr>
              <w:t>ounty council</w:t>
            </w:r>
            <w:r w:rsidRPr="009E48A6">
              <w:rPr>
                <w:color w:val="000000"/>
              </w:rPr>
              <w:t xml:space="preserve"> is exposed to. </w:t>
            </w:r>
            <w:r w:rsidR="007F6754">
              <w:t>The one year impact indicator calculates</w:t>
            </w:r>
            <w:r w:rsidR="007F6754" w:rsidRPr="00C63B7D">
              <w:t xml:space="preserve"> the theoretical impact on the revenue account of an</w:t>
            </w:r>
            <w:r w:rsidR="007F6754">
              <w:t xml:space="preserve"> </w:t>
            </w:r>
            <w:r w:rsidR="007F6754" w:rsidRPr="00C63B7D">
              <w:t xml:space="preserve">immediate 1% rise in all interest rates over the course of one financial year. </w:t>
            </w:r>
          </w:p>
        </w:tc>
        <w:tc>
          <w:tcPr>
            <w:tcW w:w="1843" w:type="dxa"/>
            <w:vAlign w:val="center"/>
          </w:tcPr>
          <w:p w:rsidR="00217C4B" w:rsidRDefault="00217C4B" w:rsidP="00217C4B">
            <w:pPr>
              <w:jc w:val="center"/>
            </w:pPr>
            <w:r>
              <w:t>Upper Limit</w:t>
            </w:r>
          </w:p>
        </w:tc>
        <w:tc>
          <w:tcPr>
            <w:tcW w:w="2046" w:type="dxa"/>
            <w:vAlign w:val="center"/>
          </w:tcPr>
          <w:p w:rsidR="00217C4B" w:rsidRDefault="00D759C9">
            <w:pPr>
              <w:jc w:val="center"/>
            </w:pPr>
            <w:r>
              <w:t>Dec 2015</w:t>
            </w:r>
          </w:p>
        </w:tc>
      </w:tr>
      <w:tr w:rsidR="00217C4B" w:rsidTr="00F96065">
        <w:tc>
          <w:tcPr>
            <w:tcW w:w="5353" w:type="dxa"/>
          </w:tcPr>
          <w:p w:rsidR="00217C4B" w:rsidRDefault="00217C4B" w:rsidP="009F74AC"/>
        </w:tc>
        <w:tc>
          <w:tcPr>
            <w:tcW w:w="1843" w:type="dxa"/>
            <w:vAlign w:val="center"/>
          </w:tcPr>
          <w:p w:rsidR="00217C4B" w:rsidRDefault="00217C4B" w:rsidP="00217C4B">
            <w:pPr>
              <w:jc w:val="center"/>
            </w:pPr>
            <w:r>
              <w:t>£m</w:t>
            </w:r>
          </w:p>
        </w:tc>
        <w:tc>
          <w:tcPr>
            <w:tcW w:w="2046" w:type="dxa"/>
            <w:vAlign w:val="center"/>
          </w:tcPr>
          <w:p w:rsidR="00217C4B" w:rsidRDefault="00217C4B" w:rsidP="00217C4B">
            <w:pPr>
              <w:jc w:val="center"/>
            </w:pPr>
            <w:r>
              <w:t>£m</w:t>
            </w:r>
          </w:p>
        </w:tc>
      </w:tr>
      <w:tr w:rsidR="00217C4B" w:rsidTr="00F96065">
        <w:tc>
          <w:tcPr>
            <w:tcW w:w="5353" w:type="dxa"/>
          </w:tcPr>
          <w:p w:rsidR="00217C4B" w:rsidRDefault="00217C4B" w:rsidP="009F74AC"/>
        </w:tc>
        <w:tc>
          <w:tcPr>
            <w:tcW w:w="1843" w:type="dxa"/>
            <w:vAlign w:val="center"/>
          </w:tcPr>
          <w:p w:rsidR="00217C4B" w:rsidRDefault="00217C4B" w:rsidP="00217C4B">
            <w:pPr>
              <w:jc w:val="center"/>
            </w:pPr>
          </w:p>
        </w:tc>
        <w:tc>
          <w:tcPr>
            <w:tcW w:w="2046" w:type="dxa"/>
            <w:vAlign w:val="center"/>
          </w:tcPr>
          <w:p w:rsidR="00217C4B" w:rsidRDefault="00217C4B" w:rsidP="00217C4B">
            <w:pPr>
              <w:jc w:val="center"/>
            </w:pPr>
          </w:p>
        </w:tc>
      </w:tr>
      <w:tr w:rsidR="00217C4B" w:rsidTr="00F96065">
        <w:tc>
          <w:tcPr>
            <w:tcW w:w="5353" w:type="dxa"/>
          </w:tcPr>
          <w:p w:rsidR="00217C4B" w:rsidRDefault="00217C4B" w:rsidP="009F74AC">
            <w:r>
              <w:t>Net Interest Payable at Fixed Rates</w:t>
            </w:r>
          </w:p>
        </w:tc>
        <w:tc>
          <w:tcPr>
            <w:tcW w:w="1843" w:type="dxa"/>
            <w:vAlign w:val="center"/>
          </w:tcPr>
          <w:p w:rsidR="00217C4B" w:rsidRPr="004B6A45" w:rsidRDefault="00FC310C">
            <w:pPr>
              <w:jc w:val="center"/>
            </w:pPr>
            <w:r w:rsidRPr="00F861B8">
              <w:t>50</w:t>
            </w:r>
            <w:r w:rsidR="00217C4B" w:rsidRPr="004B6A45">
              <w:t>.</w:t>
            </w:r>
            <w:r w:rsidRPr="00F861B8">
              <w:t>4</w:t>
            </w:r>
          </w:p>
        </w:tc>
        <w:tc>
          <w:tcPr>
            <w:tcW w:w="2046" w:type="dxa"/>
            <w:vAlign w:val="center"/>
          </w:tcPr>
          <w:p w:rsidR="00217C4B" w:rsidRDefault="00D759C9" w:rsidP="00217C4B">
            <w:pPr>
              <w:jc w:val="center"/>
            </w:pPr>
            <w:r>
              <w:t>6.8</w:t>
            </w:r>
          </w:p>
        </w:tc>
      </w:tr>
      <w:tr w:rsidR="00217C4B" w:rsidTr="00F96065">
        <w:tc>
          <w:tcPr>
            <w:tcW w:w="5353" w:type="dxa"/>
          </w:tcPr>
          <w:p w:rsidR="00217C4B" w:rsidRDefault="00217C4B" w:rsidP="009F74AC">
            <w:r>
              <w:t>Net Interest Payable at Variable Rates</w:t>
            </w:r>
          </w:p>
        </w:tc>
        <w:tc>
          <w:tcPr>
            <w:tcW w:w="1843" w:type="dxa"/>
            <w:vAlign w:val="center"/>
          </w:tcPr>
          <w:p w:rsidR="00217C4B" w:rsidRPr="004B6A45" w:rsidRDefault="004F4C29" w:rsidP="00217C4B">
            <w:pPr>
              <w:jc w:val="center"/>
            </w:pPr>
            <w:r>
              <w:t xml:space="preserve"> </w:t>
            </w:r>
            <w:r w:rsidR="00217C4B" w:rsidRPr="004B6A45">
              <w:t>5.0</w:t>
            </w:r>
          </w:p>
        </w:tc>
        <w:tc>
          <w:tcPr>
            <w:tcW w:w="2046" w:type="dxa"/>
            <w:vAlign w:val="center"/>
          </w:tcPr>
          <w:p w:rsidR="00217C4B" w:rsidRDefault="00D759C9" w:rsidP="00217C4B">
            <w:pPr>
              <w:jc w:val="center"/>
            </w:pPr>
            <w:r>
              <w:t>3.2</w:t>
            </w:r>
          </w:p>
        </w:tc>
      </w:tr>
      <w:tr w:rsidR="00217C4B" w:rsidTr="00F96065">
        <w:tc>
          <w:tcPr>
            <w:tcW w:w="5353" w:type="dxa"/>
          </w:tcPr>
          <w:p w:rsidR="00217C4B" w:rsidRDefault="00217C4B" w:rsidP="009F74AC">
            <w:r>
              <w:t>One year impact of a 1% rise in rates</w:t>
            </w:r>
          </w:p>
        </w:tc>
        <w:tc>
          <w:tcPr>
            <w:tcW w:w="1843" w:type="dxa"/>
            <w:vAlign w:val="center"/>
          </w:tcPr>
          <w:p w:rsidR="00217C4B" w:rsidRPr="004B6A45" w:rsidRDefault="004F4C29" w:rsidP="00F861B8">
            <w:r>
              <w:t xml:space="preserve">        </w:t>
            </w:r>
            <w:r w:rsidR="004B6A45" w:rsidRPr="00F861B8">
              <w:t>10</w:t>
            </w:r>
            <w:r w:rsidR="00217C4B" w:rsidRPr="004B6A45">
              <w:t>.0</w:t>
            </w:r>
          </w:p>
        </w:tc>
        <w:tc>
          <w:tcPr>
            <w:tcW w:w="2046" w:type="dxa"/>
            <w:vAlign w:val="center"/>
          </w:tcPr>
          <w:p w:rsidR="00217C4B" w:rsidRDefault="00D759C9" w:rsidP="00217C4B">
            <w:pPr>
              <w:jc w:val="center"/>
            </w:pPr>
            <w:r>
              <w:t>1.7</w:t>
            </w:r>
          </w:p>
        </w:tc>
      </w:tr>
    </w:tbl>
    <w:p w:rsidR="009F74AC" w:rsidRPr="009214FB" w:rsidRDefault="009F74AC" w:rsidP="009F74AC"/>
    <w:tbl>
      <w:tblPr>
        <w:tblW w:w="12222" w:type="dxa"/>
        <w:tblInd w:w="108" w:type="dxa"/>
        <w:tblLayout w:type="fixed"/>
        <w:tblLook w:val="0000" w:firstRow="0" w:lastRow="0" w:firstColumn="0" w:lastColumn="0" w:noHBand="0" w:noVBand="0"/>
      </w:tblPr>
      <w:tblGrid>
        <w:gridCol w:w="9214"/>
        <w:gridCol w:w="1764"/>
        <w:gridCol w:w="1244"/>
      </w:tblGrid>
      <w:tr w:rsidR="009F74AC" w:rsidRPr="009214FB" w:rsidTr="009F74AC">
        <w:tc>
          <w:tcPr>
            <w:tcW w:w="9214" w:type="dxa"/>
          </w:tcPr>
          <w:p w:rsidR="009E48A6" w:rsidRDefault="009F74AC" w:rsidP="009E48A6">
            <w:pPr>
              <w:pStyle w:val="ListParagraph"/>
              <w:tabs>
                <w:tab w:val="left" w:pos="3285"/>
              </w:tabs>
              <w:spacing w:after="120" w:line="276" w:lineRule="auto"/>
              <w:ind w:left="-108"/>
              <w:rPr>
                <w:b/>
              </w:rPr>
            </w:pPr>
            <w:r w:rsidRPr="009214FB">
              <w:rPr>
                <w:b/>
              </w:rPr>
              <w:t>Maturity structure of debt</w:t>
            </w:r>
          </w:p>
          <w:p w:rsidR="009E48A6" w:rsidRDefault="009E48A6" w:rsidP="009E48A6">
            <w:pPr>
              <w:pStyle w:val="ListParagraph"/>
              <w:tabs>
                <w:tab w:val="left" w:pos="3285"/>
              </w:tabs>
              <w:spacing w:after="120" w:line="276" w:lineRule="auto"/>
              <w:ind w:left="-108"/>
              <w:rPr>
                <w:b/>
              </w:rPr>
            </w:pPr>
          </w:p>
          <w:p w:rsidR="009F74AC" w:rsidRPr="009E48A6" w:rsidRDefault="009E48A6" w:rsidP="009E48A6">
            <w:pPr>
              <w:pStyle w:val="ListParagraph"/>
              <w:tabs>
                <w:tab w:val="left" w:pos="3285"/>
              </w:tabs>
              <w:spacing w:after="120" w:line="276" w:lineRule="auto"/>
              <w:ind w:left="-108"/>
            </w:pPr>
            <w:r w:rsidRPr="009E48A6">
              <w:t xml:space="preserve">Limits on the maturity structure of </w:t>
            </w:r>
            <w:r w:rsidR="008E12BE">
              <w:t xml:space="preserve">fixed </w:t>
            </w:r>
            <w:r w:rsidRPr="009E48A6">
              <w:t>debt help control refinancing risk</w:t>
            </w:r>
            <w:r w:rsidRPr="009E48A6">
              <w:tab/>
            </w:r>
          </w:p>
        </w:tc>
        <w:tc>
          <w:tcPr>
            <w:tcW w:w="1764" w:type="dxa"/>
          </w:tcPr>
          <w:p w:rsidR="009F74AC" w:rsidRPr="009214FB" w:rsidRDefault="009F74AC" w:rsidP="009F74AC">
            <w:pPr>
              <w:tabs>
                <w:tab w:val="decimal" w:pos="882"/>
              </w:tabs>
              <w:spacing w:after="240"/>
              <w:rPr>
                <w:caps/>
              </w:rPr>
            </w:pPr>
          </w:p>
        </w:tc>
        <w:tc>
          <w:tcPr>
            <w:tcW w:w="1244" w:type="dxa"/>
          </w:tcPr>
          <w:p w:rsidR="009F74AC" w:rsidRPr="009214FB" w:rsidRDefault="009F74AC" w:rsidP="009F74AC">
            <w:pPr>
              <w:tabs>
                <w:tab w:val="decimal" w:pos="882"/>
              </w:tabs>
              <w:spacing w:after="240"/>
              <w:rPr>
                <w:caps/>
              </w:rPr>
            </w:pPr>
          </w:p>
        </w:tc>
      </w:tr>
      <w:tr w:rsidR="009F74AC" w:rsidRPr="009214FB" w:rsidTr="009F74AC">
        <w:trPr>
          <w:cantSplit/>
        </w:trPr>
        <w:tc>
          <w:tcPr>
            <w:tcW w:w="12222" w:type="dxa"/>
            <w:gridSpan w:val="3"/>
          </w:tcPr>
          <w:tbl>
            <w:tblPr>
              <w:tblStyle w:val="TableGrid"/>
              <w:tblpPr w:leftFromText="180" w:rightFromText="180" w:vertAnchor="page" w:horzAnchor="page" w:tblpX="375"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7"/>
              <w:gridCol w:w="424"/>
              <w:gridCol w:w="1419"/>
              <w:gridCol w:w="282"/>
              <w:gridCol w:w="1277"/>
              <w:gridCol w:w="282"/>
              <w:gridCol w:w="1419"/>
              <w:gridCol w:w="282"/>
            </w:tblGrid>
            <w:tr w:rsidR="009F74AC" w:rsidRPr="009214FB" w:rsidTr="009E48A6">
              <w:trPr>
                <w:gridAfter w:val="1"/>
                <w:wAfter w:w="282" w:type="dxa"/>
              </w:trPr>
              <w:tc>
                <w:tcPr>
                  <w:tcW w:w="2837" w:type="dxa"/>
                </w:tcPr>
                <w:p w:rsidR="009F74AC" w:rsidRPr="009214FB" w:rsidRDefault="009F74AC" w:rsidP="009F74AC">
                  <w:pPr>
                    <w:tabs>
                      <w:tab w:val="left" w:pos="342"/>
                    </w:tabs>
                    <w:spacing w:after="120"/>
                  </w:pPr>
                </w:p>
              </w:tc>
              <w:tc>
                <w:tcPr>
                  <w:tcW w:w="1843" w:type="dxa"/>
                  <w:gridSpan w:val="2"/>
                </w:tcPr>
                <w:p w:rsidR="009F74AC" w:rsidRPr="009214FB" w:rsidRDefault="009F74AC" w:rsidP="009F74AC">
                  <w:pPr>
                    <w:tabs>
                      <w:tab w:val="left" w:pos="342"/>
                    </w:tabs>
                    <w:spacing w:after="120"/>
                    <w:jc w:val="center"/>
                  </w:pPr>
                </w:p>
              </w:tc>
              <w:tc>
                <w:tcPr>
                  <w:tcW w:w="1559" w:type="dxa"/>
                  <w:gridSpan w:val="2"/>
                </w:tcPr>
                <w:p w:rsidR="009F74AC" w:rsidRPr="009214FB" w:rsidRDefault="009F74AC" w:rsidP="009F74AC">
                  <w:pPr>
                    <w:tabs>
                      <w:tab w:val="left" w:pos="342"/>
                    </w:tabs>
                    <w:spacing w:after="120"/>
                    <w:jc w:val="center"/>
                  </w:pPr>
                  <w:r w:rsidRPr="009214FB">
                    <w:t>Upper Limit %</w:t>
                  </w:r>
                </w:p>
              </w:tc>
              <w:tc>
                <w:tcPr>
                  <w:tcW w:w="1701" w:type="dxa"/>
                  <w:gridSpan w:val="2"/>
                </w:tcPr>
                <w:p w:rsidR="009F74AC" w:rsidRPr="009214FB" w:rsidRDefault="00F96065">
                  <w:pPr>
                    <w:tabs>
                      <w:tab w:val="left" w:pos="342"/>
                    </w:tabs>
                    <w:spacing w:after="120"/>
                    <w:jc w:val="center"/>
                  </w:pPr>
                  <w:r>
                    <w:t xml:space="preserve">Dec </w:t>
                  </w:r>
                  <w:r w:rsidR="00D759C9">
                    <w:t>2015</w:t>
                  </w:r>
                </w:p>
              </w:tc>
            </w:tr>
            <w:tr w:rsidR="009F74AC" w:rsidRPr="009214FB" w:rsidTr="009E48A6">
              <w:trPr>
                <w:gridAfter w:val="1"/>
                <w:wAfter w:w="282" w:type="dxa"/>
              </w:trPr>
              <w:tc>
                <w:tcPr>
                  <w:tcW w:w="2837" w:type="dxa"/>
                </w:tcPr>
                <w:p w:rsidR="009F74AC" w:rsidRPr="009214FB" w:rsidRDefault="009F74AC" w:rsidP="009F74AC">
                  <w:pPr>
                    <w:tabs>
                      <w:tab w:val="left" w:pos="342"/>
                    </w:tabs>
                    <w:spacing w:after="120"/>
                  </w:pPr>
                  <w:r w:rsidRPr="009214FB">
                    <w:t>Under 12 months</w:t>
                  </w:r>
                </w:p>
              </w:tc>
              <w:tc>
                <w:tcPr>
                  <w:tcW w:w="1843" w:type="dxa"/>
                  <w:gridSpan w:val="2"/>
                </w:tcPr>
                <w:p w:rsidR="009F74AC" w:rsidRPr="009214FB" w:rsidRDefault="009F74AC" w:rsidP="009F74AC">
                  <w:pPr>
                    <w:tabs>
                      <w:tab w:val="left" w:pos="342"/>
                    </w:tabs>
                    <w:spacing w:after="120"/>
                    <w:jc w:val="center"/>
                  </w:pPr>
                </w:p>
              </w:tc>
              <w:tc>
                <w:tcPr>
                  <w:tcW w:w="1559" w:type="dxa"/>
                  <w:gridSpan w:val="2"/>
                </w:tcPr>
                <w:p w:rsidR="009F74AC" w:rsidRPr="009214FB" w:rsidRDefault="009F74AC" w:rsidP="009F74AC">
                  <w:pPr>
                    <w:tabs>
                      <w:tab w:val="left" w:pos="342"/>
                    </w:tabs>
                    <w:spacing w:after="120"/>
                    <w:jc w:val="center"/>
                  </w:pPr>
                  <w:r w:rsidRPr="009214FB">
                    <w:t>75</w:t>
                  </w:r>
                </w:p>
              </w:tc>
              <w:tc>
                <w:tcPr>
                  <w:tcW w:w="1701" w:type="dxa"/>
                  <w:gridSpan w:val="2"/>
                </w:tcPr>
                <w:p w:rsidR="009F74AC" w:rsidRPr="009214FB" w:rsidRDefault="00D759C9" w:rsidP="009F74AC">
                  <w:pPr>
                    <w:tabs>
                      <w:tab w:val="left" w:pos="342"/>
                    </w:tabs>
                    <w:spacing w:after="120"/>
                    <w:jc w:val="center"/>
                  </w:pPr>
                  <w:r>
                    <w:t>17</w:t>
                  </w:r>
                </w:p>
              </w:tc>
            </w:tr>
            <w:tr w:rsidR="009F74AC" w:rsidRPr="009214FB" w:rsidTr="009E48A6">
              <w:tc>
                <w:tcPr>
                  <w:tcW w:w="3261" w:type="dxa"/>
                  <w:gridSpan w:val="2"/>
                </w:tcPr>
                <w:p w:rsidR="009F74AC" w:rsidRPr="009214FB" w:rsidRDefault="009F74AC" w:rsidP="009E48A6">
                  <w:pPr>
                    <w:tabs>
                      <w:tab w:val="left" w:pos="342"/>
                    </w:tabs>
                    <w:spacing w:after="120"/>
                    <w:ind w:right="-390"/>
                  </w:pPr>
                  <w:r w:rsidRPr="009214FB">
                    <w:t>12 months and within 2 years</w:t>
                  </w:r>
                </w:p>
              </w:tc>
              <w:tc>
                <w:tcPr>
                  <w:tcW w:w="1701" w:type="dxa"/>
                  <w:gridSpan w:val="2"/>
                </w:tcPr>
                <w:p w:rsidR="009F74AC" w:rsidRPr="009214FB" w:rsidRDefault="009F74AC" w:rsidP="009F74AC">
                  <w:pPr>
                    <w:tabs>
                      <w:tab w:val="left" w:pos="342"/>
                    </w:tabs>
                    <w:spacing w:after="120"/>
                    <w:jc w:val="center"/>
                  </w:pPr>
                </w:p>
              </w:tc>
              <w:tc>
                <w:tcPr>
                  <w:tcW w:w="1559" w:type="dxa"/>
                  <w:gridSpan w:val="2"/>
                </w:tcPr>
                <w:p w:rsidR="009F74AC" w:rsidRPr="009214FB" w:rsidRDefault="009E48A6" w:rsidP="009E48A6">
                  <w:pPr>
                    <w:tabs>
                      <w:tab w:val="left" w:pos="342"/>
                    </w:tabs>
                    <w:spacing w:after="120"/>
                  </w:pPr>
                  <w:r>
                    <w:t xml:space="preserve">    </w:t>
                  </w:r>
                  <w:r w:rsidR="009F74AC" w:rsidRPr="009214FB">
                    <w:t>75</w:t>
                  </w:r>
                </w:p>
              </w:tc>
              <w:tc>
                <w:tcPr>
                  <w:tcW w:w="1701" w:type="dxa"/>
                  <w:gridSpan w:val="2"/>
                </w:tcPr>
                <w:p w:rsidR="009F74AC" w:rsidRPr="009214FB" w:rsidRDefault="009E48A6">
                  <w:pPr>
                    <w:tabs>
                      <w:tab w:val="left" w:pos="342"/>
                    </w:tabs>
                    <w:spacing w:after="120"/>
                  </w:pPr>
                  <w:r>
                    <w:t xml:space="preserve">    </w:t>
                  </w:r>
                  <w:r w:rsidR="008311DC">
                    <w:t xml:space="preserve"> </w:t>
                  </w:r>
                  <w:r w:rsidR="00D759C9">
                    <w:t>38</w:t>
                  </w:r>
                </w:p>
              </w:tc>
            </w:tr>
            <w:tr w:rsidR="009F74AC" w:rsidRPr="009214FB" w:rsidTr="009E48A6">
              <w:trPr>
                <w:gridAfter w:val="1"/>
                <w:wAfter w:w="282" w:type="dxa"/>
              </w:trPr>
              <w:tc>
                <w:tcPr>
                  <w:tcW w:w="2837" w:type="dxa"/>
                </w:tcPr>
                <w:p w:rsidR="009F74AC" w:rsidRPr="009214FB" w:rsidRDefault="009F74AC" w:rsidP="009E48A6">
                  <w:pPr>
                    <w:tabs>
                      <w:tab w:val="left" w:pos="342"/>
                    </w:tabs>
                    <w:spacing w:after="120"/>
                  </w:pPr>
                  <w:r w:rsidRPr="009214FB">
                    <w:t>2 years and within 5</w:t>
                  </w:r>
                  <w:r w:rsidR="009E48A6">
                    <w:t xml:space="preserve"> </w:t>
                  </w:r>
                  <w:r w:rsidRPr="009214FB">
                    <w:t>years</w:t>
                  </w:r>
                </w:p>
              </w:tc>
              <w:tc>
                <w:tcPr>
                  <w:tcW w:w="1843" w:type="dxa"/>
                  <w:gridSpan w:val="2"/>
                </w:tcPr>
                <w:p w:rsidR="009F74AC" w:rsidRPr="009214FB" w:rsidRDefault="009F74AC" w:rsidP="009F74AC">
                  <w:pPr>
                    <w:tabs>
                      <w:tab w:val="left" w:pos="342"/>
                    </w:tabs>
                    <w:spacing w:after="120"/>
                    <w:jc w:val="center"/>
                  </w:pPr>
                </w:p>
              </w:tc>
              <w:tc>
                <w:tcPr>
                  <w:tcW w:w="1559" w:type="dxa"/>
                  <w:gridSpan w:val="2"/>
                </w:tcPr>
                <w:p w:rsidR="009F74AC" w:rsidRPr="009214FB" w:rsidRDefault="009F74AC" w:rsidP="009F74AC">
                  <w:pPr>
                    <w:tabs>
                      <w:tab w:val="left" w:pos="342"/>
                    </w:tabs>
                    <w:spacing w:after="120"/>
                    <w:jc w:val="center"/>
                  </w:pPr>
                  <w:r w:rsidRPr="009214FB">
                    <w:t>75</w:t>
                  </w:r>
                </w:p>
              </w:tc>
              <w:tc>
                <w:tcPr>
                  <w:tcW w:w="1701" w:type="dxa"/>
                  <w:gridSpan w:val="2"/>
                </w:tcPr>
                <w:p w:rsidR="009F74AC" w:rsidRPr="009214FB" w:rsidRDefault="00D759C9" w:rsidP="009F74AC">
                  <w:pPr>
                    <w:tabs>
                      <w:tab w:val="left" w:pos="342"/>
                    </w:tabs>
                    <w:spacing w:after="120"/>
                    <w:jc w:val="center"/>
                  </w:pPr>
                  <w:r>
                    <w:t>19</w:t>
                  </w:r>
                </w:p>
              </w:tc>
            </w:tr>
            <w:tr w:rsidR="009F74AC" w:rsidRPr="009214FB" w:rsidTr="009E48A6">
              <w:trPr>
                <w:gridAfter w:val="1"/>
                <w:wAfter w:w="282" w:type="dxa"/>
              </w:trPr>
              <w:tc>
                <w:tcPr>
                  <w:tcW w:w="2837" w:type="dxa"/>
                </w:tcPr>
                <w:p w:rsidR="009F74AC" w:rsidRPr="009214FB" w:rsidRDefault="009F74AC" w:rsidP="009F74AC">
                  <w:pPr>
                    <w:tabs>
                      <w:tab w:val="left" w:pos="342"/>
                    </w:tabs>
                    <w:spacing w:after="120"/>
                  </w:pPr>
                  <w:r w:rsidRPr="009214FB">
                    <w:t>5 years and within 10 years</w:t>
                  </w:r>
                </w:p>
              </w:tc>
              <w:tc>
                <w:tcPr>
                  <w:tcW w:w="1843" w:type="dxa"/>
                  <w:gridSpan w:val="2"/>
                </w:tcPr>
                <w:p w:rsidR="009F74AC" w:rsidRPr="009214FB" w:rsidRDefault="009F74AC" w:rsidP="009F74AC">
                  <w:pPr>
                    <w:tabs>
                      <w:tab w:val="left" w:pos="342"/>
                    </w:tabs>
                    <w:spacing w:after="120"/>
                    <w:jc w:val="center"/>
                  </w:pPr>
                </w:p>
              </w:tc>
              <w:tc>
                <w:tcPr>
                  <w:tcW w:w="1559" w:type="dxa"/>
                  <w:gridSpan w:val="2"/>
                </w:tcPr>
                <w:p w:rsidR="009F74AC" w:rsidRPr="009214FB" w:rsidRDefault="009F74AC" w:rsidP="009F74AC">
                  <w:pPr>
                    <w:tabs>
                      <w:tab w:val="left" w:pos="342"/>
                    </w:tabs>
                    <w:spacing w:after="120"/>
                    <w:jc w:val="center"/>
                  </w:pPr>
                  <w:r w:rsidRPr="009214FB">
                    <w:t>75</w:t>
                  </w:r>
                </w:p>
              </w:tc>
              <w:tc>
                <w:tcPr>
                  <w:tcW w:w="1701" w:type="dxa"/>
                  <w:gridSpan w:val="2"/>
                </w:tcPr>
                <w:p w:rsidR="009F74AC" w:rsidRPr="009214FB" w:rsidRDefault="008311DC" w:rsidP="009F74AC">
                  <w:pPr>
                    <w:tabs>
                      <w:tab w:val="left" w:pos="342"/>
                    </w:tabs>
                    <w:spacing w:after="120"/>
                    <w:jc w:val="center"/>
                  </w:pPr>
                  <w:r>
                    <w:t xml:space="preserve"> </w:t>
                  </w:r>
                  <w:r w:rsidR="00D759C9">
                    <w:t>6</w:t>
                  </w:r>
                  <w:r>
                    <w:t>5</w:t>
                  </w:r>
                </w:p>
              </w:tc>
            </w:tr>
            <w:tr w:rsidR="009F74AC" w:rsidRPr="009214FB" w:rsidTr="009E48A6">
              <w:trPr>
                <w:gridAfter w:val="1"/>
                <w:wAfter w:w="282" w:type="dxa"/>
              </w:trPr>
              <w:tc>
                <w:tcPr>
                  <w:tcW w:w="2837" w:type="dxa"/>
                </w:tcPr>
                <w:p w:rsidR="009F74AC" w:rsidRPr="009214FB" w:rsidRDefault="009F74AC" w:rsidP="009F74AC">
                  <w:pPr>
                    <w:tabs>
                      <w:tab w:val="left" w:pos="342"/>
                    </w:tabs>
                    <w:spacing w:after="120"/>
                  </w:pPr>
                  <w:r w:rsidRPr="009214FB">
                    <w:t>10 years and above</w:t>
                  </w:r>
                </w:p>
              </w:tc>
              <w:tc>
                <w:tcPr>
                  <w:tcW w:w="1843" w:type="dxa"/>
                  <w:gridSpan w:val="2"/>
                </w:tcPr>
                <w:p w:rsidR="009F74AC" w:rsidRPr="009214FB" w:rsidRDefault="009F74AC" w:rsidP="009F74AC">
                  <w:pPr>
                    <w:tabs>
                      <w:tab w:val="left" w:pos="342"/>
                    </w:tabs>
                    <w:spacing w:after="120"/>
                    <w:jc w:val="center"/>
                  </w:pPr>
                </w:p>
              </w:tc>
              <w:tc>
                <w:tcPr>
                  <w:tcW w:w="1559" w:type="dxa"/>
                  <w:gridSpan w:val="2"/>
                </w:tcPr>
                <w:p w:rsidR="009F74AC" w:rsidRPr="009214FB" w:rsidRDefault="009F74AC" w:rsidP="009F74AC">
                  <w:pPr>
                    <w:tabs>
                      <w:tab w:val="left" w:pos="342"/>
                    </w:tabs>
                    <w:spacing w:after="120"/>
                    <w:jc w:val="center"/>
                  </w:pPr>
                  <w:r w:rsidRPr="009214FB">
                    <w:t>100</w:t>
                  </w:r>
                </w:p>
              </w:tc>
              <w:tc>
                <w:tcPr>
                  <w:tcW w:w="1701" w:type="dxa"/>
                  <w:gridSpan w:val="2"/>
                </w:tcPr>
                <w:p w:rsidR="009F74AC" w:rsidRPr="009214FB" w:rsidRDefault="00D759C9" w:rsidP="009F74AC">
                  <w:pPr>
                    <w:tabs>
                      <w:tab w:val="left" w:pos="342"/>
                    </w:tabs>
                    <w:spacing w:after="120"/>
                    <w:jc w:val="center"/>
                  </w:pPr>
                  <w:r>
                    <w:t>19</w:t>
                  </w:r>
                </w:p>
              </w:tc>
            </w:tr>
          </w:tbl>
          <w:p w:rsidR="009F74AC" w:rsidRPr="009214FB" w:rsidRDefault="009F74AC" w:rsidP="009F74AC">
            <w:pPr>
              <w:tabs>
                <w:tab w:val="left" w:pos="342"/>
              </w:tabs>
              <w:spacing w:after="120"/>
              <w:ind w:left="342"/>
            </w:pPr>
          </w:p>
        </w:tc>
      </w:tr>
    </w:tbl>
    <w:p w:rsidR="00E21386" w:rsidRDefault="00E21386" w:rsidP="009F74AC"/>
    <w:p w:rsidR="009F74AC" w:rsidRPr="009214FB" w:rsidRDefault="009F74AC" w:rsidP="009F74AC">
      <w:pPr>
        <w:pStyle w:val="ListParagraph"/>
        <w:tabs>
          <w:tab w:val="left" w:pos="0"/>
        </w:tabs>
        <w:spacing w:after="200" w:line="276" w:lineRule="auto"/>
        <w:ind w:left="0"/>
        <w:rPr>
          <w:b/>
          <w:color w:val="000000"/>
        </w:rPr>
      </w:pPr>
      <w:r w:rsidRPr="009214FB">
        <w:rPr>
          <w:b/>
          <w:color w:val="000000"/>
        </w:rPr>
        <w:t>Investments over 36</w:t>
      </w:r>
      <w:r w:rsidR="00B2212E" w:rsidRPr="009214FB">
        <w:rPr>
          <w:b/>
          <w:color w:val="000000"/>
        </w:rPr>
        <w:t>4</w:t>
      </w:r>
      <w:r w:rsidRPr="009214FB">
        <w:rPr>
          <w:b/>
          <w:color w:val="000000"/>
        </w:rPr>
        <w:t xml:space="preserve"> days</w:t>
      </w:r>
    </w:p>
    <w:p w:rsidR="009E48A6" w:rsidRDefault="009E48A6" w:rsidP="009F74AC">
      <w:pPr>
        <w:rPr>
          <w:color w:val="000000"/>
        </w:rPr>
      </w:pPr>
      <w:r>
        <w:rPr>
          <w:color w:val="000000"/>
        </w:rPr>
        <w:t>Limits on the level of long term investments helps to control liquidity, although the majority of these investments are held in available for sale securities.</w:t>
      </w:r>
    </w:p>
    <w:p w:rsidR="00DF5C1B" w:rsidRDefault="00DF5C1B" w:rsidP="009F74AC">
      <w:pPr>
        <w:rPr>
          <w:color w:val="000000"/>
        </w:rPr>
      </w:pPr>
    </w:p>
    <w:p w:rsidR="00DF5C1B" w:rsidRDefault="00DF5C1B" w:rsidP="009F74AC">
      <w:pPr>
        <w:rPr>
          <w:color w:val="000000"/>
        </w:rPr>
      </w:pPr>
    </w:p>
    <w:p w:rsidR="00DF5C1B" w:rsidRDefault="00DF5C1B" w:rsidP="009F74AC">
      <w:pPr>
        <w:rPr>
          <w:color w:val="000000"/>
        </w:rPr>
      </w:pPr>
    </w:p>
    <w:p w:rsidR="009F74AC" w:rsidRDefault="009E48A6" w:rsidP="009F74AC">
      <w:pPr>
        <w:rPr>
          <w:color w:val="000000"/>
        </w:rPr>
      </w:pPr>
      <w:r>
        <w:rPr>
          <w:color w:val="000000"/>
        </w:rPr>
        <w:t xml:space="preserve"> </w:t>
      </w:r>
    </w:p>
    <w:p w:rsidR="00471A5B" w:rsidRDefault="00471A5B" w:rsidP="009F74AC">
      <w:pPr>
        <w:rPr>
          <w:color w:val="000000"/>
        </w:rPr>
      </w:pPr>
    </w:p>
    <w:p w:rsidR="00471A5B" w:rsidRDefault="00471A5B" w:rsidP="009F74AC">
      <w:pPr>
        <w:rPr>
          <w:color w:val="000000"/>
        </w:rPr>
      </w:pPr>
    </w:p>
    <w:p w:rsidR="00471A5B" w:rsidRPr="009214FB" w:rsidRDefault="00471A5B" w:rsidP="009F74AC">
      <w:pPr>
        <w:rPr>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1276"/>
        <w:gridCol w:w="1276"/>
      </w:tblGrid>
      <w:tr w:rsidR="009F74AC" w:rsidRPr="009214FB" w:rsidTr="009F74AC">
        <w:trPr>
          <w:jc w:val="center"/>
        </w:trPr>
        <w:tc>
          <w:tcPr>
            <w:tcW w:w="4476" w:type="dxa"/>
          </w:tcPr>
          <w:p w:rsidR="009F74AC" w:rsidRPr="009214FB" w:rsidRDefault="009F74AC" w:rsidP="009F74AC">
            <w:pPr>
              <w:rPr>
                <w:color w:val="000000"/>
              </w:rPr>
            </w:pPr>
          </w:p>
        </w:tc>
        <w:tc>
          <w:tcPr>
            <w:tcW w:w="1276" w:type="dxa"/>
            <w:vAlign w:val="center"/>
          </w:tcPr>
          <w:p w:rsidR="009F74AC" w:rsidRPr="009214FB" w:rsidRDefault="009F74AC" w:rsidP="009F74AC">
            <w:pPr>
              <w:jc w:val="center"/>
              <w:rPr>
                <w:b/>
                <w:color w:val="000000"/>
              </w:rPr>
            </w:pPr>
            <w:r w:rsidRPr="009214FB">
              <w:rPr>
                <w:b/>
                <w:color w:val="000000"/>
              </w:rPr>
              <w:t>Upper limit</w:t>
            </w:r>
          </w:p>
        </w:tc>
        <w:tc>
          <w:tcPr>
            <w:tcW w:w="1276" w:type="dxa"/>
            <w:vAlign w:val="center"/>
          </w:tcPr>
          <w:p w:rsidR="009F74AC" w:rsidRPr="009214FB" w:rsidRDefault="00F96065">
            <w:pPr>
              <w:jc w:val="center"/>
              <w:rPr>
                <w:b/>
                <w:color w:val="000000"/>
              </w:rPr>
            </w:pPr>
            <w:r>
              <w:rPr>
                <w:b/>
                <w:color w:val="000000"/>
              </w:rPr>
              <w:t xml:space="preserve">Dec </w:t>
            </w:r>
            <w:r w:rsidR="00D759C9">
              <w:rPr>
                <w:b/>
                <w:color w:val="000000"/>
              </w:rPr>
              <w:t>2015</w:t>
            </w:r>
          </w:p>
        </w:tc>
      </w:tr>
      <w:tr w:rsidR="009F74AC" w:rsidRPr="009214FB" w:rsidTr="009F74AC">
        <w:trPr>
          <w:jc w:val="center"/>
        </w:trPr>
        <w:tc>
          <w:tcPr>
            <w:tcW w:w="4476" w:type="dxa"/>
          </w:tcPr>
          <w:p w:rsidR="009F74AC" w:rsidRPr="009214FB" w:rsidRDefault="009F74AC" w:rsidP="009F74AC">
            <w:pPr>
              <w:rPr>
                <w:color w:val="000000"/>
              </w:rPr>
            </w:pPr>
          </w:p>
        </w:tc>
        <w:tc>
          <w:tcPr>
            <w:tcW w:w="1276" w:type="dxa"/>
            <w:vAlign w:val="center"/>
          </w:tcPr>
          <w:p w:rsidR="009F74AC" w:rsidRPr="009214FB" w:rsidRDefault="009F74AC" w:rsidP="009F74AC">
            <w:pPr>
              <w:jc w:val="center"/>
              <w:rPr>
                <w:b/>
                <w:color w:val="000000"/>
              </w:rPr>
            </w:pPr>
            <w:r w:rsidRPr="009214FB">
              <w:rPr>
                <w:b/>
                <w:color w:val="000000"/>
              </w:rPr>
              <w:t>£m</w:t>
            </w:r>
          </w:p>
        </w:tc>
        <w:tc>
          <w:tcPr>
            <w:tcW w:w="1276" w:type="dxa"/>
            <w:vAlign w:val="center"/>
          </w:tcPr>
          <w:p w:rsidR="009F74AC" w:rsidRPr="009214FB" w:rsidRDefault="00F96065" w:rsidP="009F74AC">
            <w:pPr>
              <w:jc w:val="center"/>
              <w:rPr>
                <w:b/>
                <w:color w:val="000000"/>
              </w:rPr>
            </w:pPr>
            <w:r>
              <w:rPr>
                <w:b/>
                <w:color w:val="000000"/>
              </w:rPr>
              <w:t>£m</w:t>
            </w:r>
          </w:p>
        </w:tc>
      </w:tr>
      <w:tr w:rsidR="009F74AC" w:rsidRPr="009214FB" w:rsidTr="009F74AC">
        <w:trPr>
          <w:jc w:val="center"/>
        </w:trPr>
        <w:tc>
          <w:tcPr>
            <w:tcW w:w="4476" w:type="dxa"/>
          </w:tcPr>
          <w:p w:rsidR="009F74AC" w:rsidRPr="00F861B8" w:rsidRDefault="003D5B00" w:rsidP="009F74AC">
            <w:pPr>
              <w:rPr>
                <w:b/>
                <w:color w:val="000000"/>
              </w:rPr>
            </w:pPr>
            <w:r>
              <w:rPr>
                <w:b/>
                <w:color w:val="000000"/>
              </w:rPr>
              <w:t>Authorised Limit</w:t>
            </w:r>
          </w:p>
        </w:tc>
        <w:tc>
          <w:tcPr>
            <w:tcW w:w="1276" w:type="dxa"/>
          </w:tcPr>
          <w:p w:rsidR="009F74AC" w:rsidRPr="009214FB" w:rsidRDefault="009F74AC" w:rsidP="009F74AC">
            <w:pPr>
              <w:jc w:val="center"/>
              <w:rPr>
                <w:color w:val="000000"/>
              </w:rPr>
            </w:pPr>
          </w:p>
        </w:tc>
        <w:tc>
          <w:tcPr>
            <w:tcW w:w="1276" w:type="dxa"/>
          </w:tcPr>
          <w:p w:rsidR="009F74AC" w:rsidRPr="009214FB" w:rsidRDefault="009F74AC" w:rsidP="009F74AC">
            <w:pPr>
              <w:jc w:val="center"/>
              <w:rPr>
                <w:color w:val="000000"/>
              </w:rPr>
            </w:pPr>
          </w:p>
        </w:tc>
      </w:tr>
      <w:tr w:rsidR="009F74AC" w:rsidRPr="009214FB" w:rsidTr="009F74AC">
        <w:trPr>
          <w:jc w:val="center"/>
        </w:trPr>
        <w:tc>
          <w:tcPr>
            <w:tcW w:w="4476" w:type="dxa"/>
          </w:tcPr>
          <w:p w:rsidR="009F74AC" w:rsidRPr="009214FB" w:rsidRDefault="009F74AC" w:rsidP="009F74AC">
            <w:pPr>
              <w:rPr>
                <w:color w:val="000000"/>
              </w:rPr>
            </w:pPr>
            <w:r w:rsidRPr="009214FB">
              <w:rPr>
                <w:color w:val="000000"/>
              </w:rPr>
              <w:t>Total invested over 364 days</w:t>
            </w:r>
          </w:p>
        </w:tc>
        <w:tc>
          <w:tcPr>
            <w:tcW w:w="1276" w:type="dxa"/>
          </w:tcPr>
          <w:p w:rsidR="009F74AC" w:rsidRDefault="000A1A7E" w:rsidP="009F74AC">
            <w:pPr>
              <w:jc w:val="center"/>
              <w:rPr>
                <w:color w:val="000000"/>
              </w:rPr>
            </w:pPr>
            <w:r>
              <w:rPr>
                <w:color w:val="000000"/>
              </w:rPr>
              <w:t>9</w:t>
            </w:r>
            <w:r w:rsidR="00B275D8">
              <w:rPr>
                <w:color w:val="000000"/>
              </w:rPr>
              <w:t>00</w:t>
            </w:r>
          </w:p>
          <w:p w:rsidR="00277A17" w:rsidRPr="009214FB" w:rsidRDefault="00277A17" w:rsidP="009F74AC">
            <w:pPr>
              <w:jc w:val="center"/>
              <w:rPr>
                <w:color w:val="000000"/>
              </w:rPr>
            </w:pPr>
          </w:p>
        </w:tc>
        <w:tc>
          <w:tcPr>
            <w:tcW w:w="1276" w:type="dxa"/>
          </w:tcPr>
          <w:p w:rsidR="009F74AC" w:rsidRPr="009214FB" w:rsidRDefault="00D759C9" w:rsidP="009F74AC">
            <w:pPr>
              <w:jc w:val="center"/>
              <w:rPr>
                <w:color w:val="000000" w:themeColor="text1"/>
                <w:highlight w:val="yellow"/>
              </w:rPr>
            </w:pPr>
            <w:r>
              <w:rPr>
                <w:color w:val="000000" w:themeColor="text1"/>
              </w:rPr>
              <w:t>577</w:t>
            </w:r>
          </w:p>
        </w:tc>
      </w:tr>
      <w:tr w:rsidR="00277A17" w:rsidRPr="009214FB" w:rsidTr="009F74AC">
        <w:trPr>
          <w:jc w:val="center"/>
        </w:trPr>
        <w:tc>
          <w:tcPr>
            <w:tcW w:w="4476" w:type="dxa"/>
          </w:tcPr>
          <w:p w:rsidR="003409E6" w:rsidRPr="00F861B8" w:rsidRDefault="003409E6" w:rsidP="009F74AC">
            <w:pPr>
              <w:rPr>
                <w:b/>
                <w:color w:val="000000"/>
              </w:rPr>
            </w:pPr>
            <w:r w:rsidRPr="00F861B8">
              <w:rPr>
                <w:b/>
                <w:color w:val="000000"/>
              </w:rPr>
              <w:t>Operating Limit</w:t>
            </w:r>
          </w:p>
          <w:p w:rsidR="00277A17" w:rsidRPr="009214FB" w:rsidRDefault="00277A17">
            <w:pPr>
              <w:rPr>
                <w:color w:val="000000"/>
              </w:rPr>
            </w:pPr>
            <w:r>
              <w:rPr>
                <w:color w:val="000000"/>
              </w:rPr>
              <w:t>Total invested over 364 days</w:t>
            </w:r>
          </w:p>
        </w:tc>
        <w:tc>
          <w:tcPr>
            <w:tcW w:w="1276" w:type="dxa"/>
          </w:tcPr>
          <w:p w:rsidR="003409E6" w:rsidRDefault="003409E6" w:rsidP="009F74AC">
            <w:pPr>
              <w:jc w:val="center"/>
              <w:rPr>
                <w:color w:val="000000"/>
              </w:rPr>
            </w:pPr>
          </w:p>
          <w:p w:rsidR="00277A17" w:rsidRPr="009214FB" w:rsidDel="00B275D8" w:rsidRDefault="003409E6">
            <w:pPr>
              <w:jc w:val="center"/>
              <w:rPr>
                <w:color w:val="000000"/>
              </w:rPr>
            </w:pPr>
            <w:r w:rsidRPr="001902E3">
              <w:rPr>
                <w:color w:val="000000"/>
              </w:rPr>
              <w:t>6</w:t>
            </w:r>
            <w:r w:rsidR="00232EBC" w:rsidRPr="001902E3">
              <w:rPr>
                <w:color w:val="000000"/>
              </w:rPr>
              <w:t>0</w:t>
            </w:r>
            <w:r w:rsidR="00277A17" w:rsidRPr="001902E3">
              <w:rPr>
                <w:color w:val="000000"/>
              </w:rPr>
              <w:t>0</w:t>
            </w:r>
          </w:p>
        </w:tc>
        <w:tc>
          <w:tcPr>
            <w:tcW w:w="1276" w:type="dxa"/>
          </w:tcPr>
          <w:p w:rsidR="003409E6" w:rsidRDefault="003409E6" w:rsidP="009F74AC">
            <w:pPr>
              <w:jc w:val="center"/>
              <w:rPr>
                <w:color w:val="000000" w:themeColor="text1"/>
              </w:rPr>
            </w:pPr>
          </w:p>
          <w:p w:rsidR="00277A17" w:rsidRPr="009418EC" w:rsidRDefault="00D759C9" w:rsidP="009F74AC">
            <w:pPr>
              <w:jc w:val="center"/>
              <w:rPr>
                <w:color w:val="000000" w:themeColor="text1"/>
              </w:rPr>
            </w:pPr>
            <w:r>
              <w:rPr>
                <w:color w:val="000000" w:themeColor="text1"/>
              </w:rPr>
              <w:t>577</w:t>
            </w:r>
          </w:p>
        </w:tc>
      </w:tr>
      <w:tr w:rsidR="00277A17" w:rsidRPr="009214FB" w:rsidTr="009F74AC">
        <w:trPr>
          <w:jc w:val="center"/>
        </w:trPr>
        <w:tc>
          <w:tcPr>
            <w:tcW w:w="4476" w:type="dxa"/>
          </w:tcPr>
          <w:p w:rsidR="00277A17" w:rsidRPr="009214FB" w:rsidRDefault="00277A17" w:rsidP="009F74AC">
            <w:pPr>
              <w:rPr>
                <w:color w:val="000000"/>
              </w:rPr>
            </w:pPr>
          </w:p>
        </w:tc>
        <w:tc>
          <w:tcPr>
            <w:tcW w:w="1276" w:type="dxa"/>
          </w:tcPr>
          <w:p w:rsidR="00277A17" w:rsidRPr="009214FB" w:rsidRDefault="00277A17" w:rsidP="009F74AC">
            <w:pPr>
              <w:jc w:val="center"/>
              <w:rPr>
                <w:color w:val="000000"/>
              </w:rPr>
            </w:pPr>
          </w:p>
        </w:tc>
        <w:tc>
          <w:tcPr>
            <w:tcW w:w="1276" w:type="dxa"/>
          </w:tcPr>
          <w:p w:rsidR="00277A17" w:rsidRPr="009214FB" w:rsidRDefault="00277A17" w:rsidP="009F74AC">
            <w:pPr>
              <w:jc w:val="center"/>
              <w:rPr>
                <w:color w:val="000000"/>
              </w:rPr>
            </w:pPr>
          </w:p>
        </w:tc>
      </w:tr>
    </w:tbl>
    <w:p w:rsidR="00D759C9" w:rsidRDefault="00D759C9" w:rsidP="003409E6"/>
    <w:p w:rsidR="009E48A6" w:rsidRDefault="009F74AC" w:rsidP="00BF0506">
      <w:pPr>
        <w:rPr>
          <w:b/>
          <w:color w:val="000000"/>
        </w:rPr>
      </w:pPr>
      <w:r w:rsidRPr="009214FB">
        <w:rPr>
          <w:b/>
          <w:color w:val="000000"/>
        </w:rPr>
        <w:t>Minimum Average Credit Rating</w:t>
      </w:r>
    </w:p>
    <w:p w:rsidR="007F6754" w:rsidRPr="009E48A6" w:rsidRDefault="007F6754" w:rsidP="009F74AC">
      <w:pPr>
        <w:pStyle w:val="ListParagraph"/>
        <w:tabs>
          <w:tab w:val="left" w:pos="0"/>
        </w:tabs>
        <w:spacing w:after="200" w:line="276" w:lineRule="auto"/>
        <w:ind w:left="0"/>
        <w:rPr>
          <w:color w:val="000000"/>
        </w:rPr>
      </w:pPr>
      <w:r w:rsidRPr="009E48A6">
        <w:rPr>
          <w:color w:val="000000"/>
        </w:rPr>
        <w:t xml:space="preserve">To control credit risk the </w:t>
      </w:r>
      <w:r w:rsidR="009A19CB">
        <w:rPr>
          <w:color w:val="000000"/>
        </w:rPr>
        <w:t>County Council</w:t>
      </w:r>
      <w:r w:rsidR="009A19CB" w:rsidRPr="009E48A6">
        <w:rPr>
          <w:color w:val="000000"/>
        </w:rPr>
        <w:t xml:space="preserve"> </w:t>
      </w:r>
      <w:r w:rsidRPr="009E48A6">
        <w:rPr>
          <w:color w:val="000000"/>
        </w:rPr>
        <w:t>requires a very high credit rating from its treasury counterparties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1524"/>
        <w:gridCol w:w="1276"/>
      </w:tblGrid>
      <w:tr w:rsidR="009F74AC" w:rsidRPr="009214FB" w:rsidTr="009F74AC">
        <w:trPr>
          <w:jc w:val="center"/>
        </w:trPr>
        <w:tc>
          <w:tcPr>
            <w:tcW w:w="4476" w:type="dxa"/>
          </w:tcPr>
          <w:p w:rsidR="009F74AC" w:rsidRPr="009214FB" w:rsidRDefault="009F74AC" w:rsidP="009F74AC">
            <w:pPr>
              <w:rPr>
                <w:color w:val="000000"/>
              </w:rPr>
            </w:pPr>
          </w:p>
        </w:tc>
        <w:tc>
          <w:tcPr>
            <w:tcW w:w="1276" w:type="dxa"/>
            <w:vAlign w:val="center"/>
          </w:tcPr>
          <w:p w:rsidR="009F74AC" w:rsidRPr="009214FB" w:rsidRDefault="009F74AC" w:rsidP="009F74AC">
            <w:pPr>
              <w:jc w:val="center"/>
              <w:rPr>
                <w:b/>
                <w:color w:val="000000"/>
              </w:rPr>
            </w:pPr>
            <w:r w:rsidRPr="009214FB">
              <w:rPr>
                <w:b/>
                <w:color w:val="000000"/>
              </w:rPr>
              <w:t>Benchmark</w:t>
            </w:r>
          </w:p>
        </w:tc>
        <w:tc>
          <w:tcPr>
            <w:tcW w:w="1276" w:type="dxa"/>
            <w:vAlign w:val="center"/>
          </w:tcPr>
          <w:p w:rsidR="009F74AC" w:rsidRPr="009214FB" w:rsidRDefault="00F96065">
            <w:pPr>
              <w:jc w:val="center"/>
              <w:rPr>
                <w:b/>
                <w:color w:val="000000"/>
              </w:rPr>
            </w:pPr>
            <w:r>
              <w:rPr>
                <w:b/>
                <w:color w:val="000000"/>
              </w:rPr>
              <w:t xml:space="preserve">Dec </w:t>
            </w:r>
            <w:r w:rsidR="00D759C9">
              <w:rPr>
                <w:b/>
                <w:color w:val="000000"/>
              </w:rPr>
              <w:t>2015</w:t>
            </w:r>
          </w:p>
        </w:tc>
      </w:tr>
      <w:tr w:rsidR="009F74AC" w:rsidRPr="009214FB" w:rsidTr="009F74AC">
        <w:trPr>
          <w:jc w:val="center"/>
        </w:trPr>
        <w:tc>
          <w:tcPr>
            <w:tcW w:w="4476" w:type="dxa"/>
          </w:tcPr>
          <w:p w:rsidR="009F74AC" w:rsidRPr="009214FB" w:rsidRDefault="009F74AC" w:rsidP="009F74AC">
            <w:pPr>
              <w:rPr>
                <w:color w:val="000000"/>
              </w:rPr>
            </w:pPr>
          </w:p>
        </w:tc>
        <w:tc>
          <w:tcPr>
            <w:tcW w:w="1276" w:type="dxa"/>
          </w:tcPr>
          <w:p w:rsidR="009F74AC" w:rsidRPr="009214FB" w:rsidRDefault="009F74AC" w:rsidP="009F74AC">
            <w:pPr>
              <w:jc w:val="center"/>
              <w:rPr>
                <w:color w:val="000000"/>
              </w:rPr>
            </w:pPr>
          </w:p>
        </w:tc>
        <w:tc>
          <w:tcPr>
            <w:tcW w:w="1276" w:type="dxa"/>
          </w:tcPr>
          <w:p w:rsidR="009F74AC" w:rsidRPr="009214FB" w:rsidRDefault="009F74AC" w:rsidP="009F74AC">
            <w:pPr>
              <w:jc w:val="center"/>
              <w:rPr>
                <w:color w:val="000000"/>
              </w:rPr>
            </w:pPr>
          </w:p>
        </w:tc>
      </w:tr>
      <w:tr w:rsidR="009F74AC" w:rsidRPr="009214FB" w:rsidTr="009F74AC">
        <w:trPr>
          <w:jc w:val="center"/>
        </w:trPr>
        <w:tc>
          <w:tcPr>
            <w:tcW w:w="4476" w:type="dxa"/>
          </w:tcPr>
          <w:p w:rsidR="009F74AC" w:rsidRPr="009214FB" w:rsidRDefault="009F74AC" w:rsidP="009F74AC">
            <w:pPr>
              <w:rPr>
                <w:color w:val="000000"/>
              </w:rPr>
            </w:pPr>
            <w:r w:rsidRPr="009214FB">
              <w:rPr>
                <w:color w:val="000000"/>
              </w:rPr>
              <w:t>Average counterparty credit rating</w:t>
            </w:r>
          </w:p>
        </w:tc>
        <w:tc>
          <w:tcPr>
            <w:tcW w:w="1276" w:type="dxa"/>
          </w:tcPr>
          <w:p w:rsidR="009F74AC" w:rsidRPr="009214FB" w:rsidRDefault="009F74AC" w:rsidP="009F74AC">
            <w:pPr>
              <w:jc w:val="center"/>
              <w:rPr>
                <w:color w:val="000000"/>
              </w:rPr>
            </w:pPr>
            <w:r w:rsidRPr="009214FB">
              <w:rPr>
                <w:color w:val="000000"/>
              </w:rPr>
              <w:t>A+</w:t>
            </w:r>
          </w:p>
        </w:tc>
        <w:tc>
          <w:tcPr>
            <w:tcW w:w="1276" w:type="dxa"/>
          </w:tcPr>
          <w:p w:rsidR="009F74AC" w:rsidRPr="009214FB" w:rsidRDefault="00F96065" w:rsidP="009F74AC">
            <w:pPr>
              <w:jc w:val="center"/>
              <w:rPr>
                <w:color w:val="000000"/>
              </w:rPr>
            </w:pPr>
            <w:r>
              <w:rPr>
                <w:color w:val="000000"/>
              </w:rPr>
              <w:t>AA</w:t>
            </w:r>
          </w:p>
        </w:tc>
      </w:tr>
    </w:tbl>
    <w:p w:rsidR="009F74AC" w:rsidRPr="00455EBD" w:rsidRDefault="009F74AC" w:rsidP="009F74AC">
      <w:pPr>
        <w:rPr>
          <w:color w:val="000000"/>
        </w:rPr>
      </w:pPr>
    </w:p>
    <w:sectPr w:rsidR="009F74AC" w:rsidRPr="00455EBD" w:rsidSect="00C50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2F0CDFC"/>
    <w:lvl w:ilvl="0">
      <w:numFmt w:val="decimal"/>
      <w:lvlText w:val="*"/>
      <w:lvlJc w:val="left"/>
      <w:rPr>
        <w:rFonts w:cs="Times New Roman"/>
      </w:rPr>
    </w:lvl>
  </w:abstractNum>
  <w:abstractNum w:abstractNumId="1" w15:restartNumberingAfterBreak="0">
    <w:nsid w:val="00D227EE"/>
    <w:multiLevelType w:val="hybridMultilevel"/>
    <w:tmpl w:val="FD10DC60"/>
    <w:lvl w:ilvl="0" w:tplc="7E3C3D22">
      <w:start w:val="1"/>
      <w:numFmt w:val="lowerRoman"/>
      <w:lvlText w:val="%1)"/>
      <w:lvlJc w:val="left"/>
      <w:pPr>
        <w:ind w:left="720" w:hanging="360"/>
      </w:pPr>
      <w:rPr>
        <w:rFonts w:hint="default"/>
      </w:rPr>
    </w:lvl>
    <w:lvl w:ilvl="1" w:tplc="988CA95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F7312"/>
    <w:multiLevelType w:val="hybridMultilevel"/>
    <w:tmpl w:val="B49C3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A86965"/>
    <w:multiLevelType w:val="hybridMultilevel"/>
    <w:tmpl w:val="AD80A86E"/>
    <w:lvl w:ilvl="0" w:tplc="F398D8A8">
      <w:start w:val="1"/>
      <w:numFmt w:val="lowerLetter"/>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87F268F"/>
    <w:multiLevelType w:val="hybridMultilevel"/>
    <w:tmpl w:val="00C0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F5F3E"/>
    <w:multiLevelType w:val="hybridMultilevel"/>
    <w:tmpl w:val="AC3C1704"/>
    <w:lvl w:ilvl="0" w:tplc="C8C0E5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FE4"/>
    <w:multiLevelType w:val="hybridMultilevel"/>
    <w:tmpl w:val="FCEA6848"/>
    <w:lvl w:ilvl="0" w:tplc="27B0D5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F34BA"/>
    <w:multiLevelType w:val="hybridMultilevel"/>
    <w:tmpl w:val="0A2692F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0E6606B0"/>
    <w:multiLevelType w:val="hybridMultilevel"/>
    <w:tmpl w:val="58E84118"/>
    <w:lvl w:ilvl="0" w:tplc="C8C0E58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C9272B"/>
    <w:multiLevelType w:val="hybridMultilevel"/>
    <w:tmpl w:val="FA60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9E6AF7"/>
    <w:multiLevelType w:val="hybridMultilevel"/>
    <w:tmpl w:val="868409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36A7FFA"/>
    <w:multiLevelType w:val="hybridMultilevel"/>
    <w:tmpl w:val="59C8B2DE"/>
    <w:lvl w:ilvl="0" w:tplc="47CCD47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BE0D07"/>
    <w:multiLevelType w:val="hybridMultilevel"/>
    <w:tmpl w:val="E7069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1560A"/>
    <w:multiLevelType w:val="hybridMultilevel"/>
    <w:tmpl w:val="24C8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A50B3"/>
    <w:multiLevelType w:val="hybridMultilevel"/>
    <w:tmpl w:val="066CBB7C"/>
    <w:lvl w:ilvl="0" w:tplc="C8C0E5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157FF"/>
    <w:multiLevelType w:val="hybridMultilevel"/>
    <w:tmpl w:val="49CA3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500E53"/>
    <w:multiLevelType w:val="hybridMultilevel"/>
    <w:tmpl w:val="5D8E941A"/>
    <w:lvl w:ilvl="0" w:tplc="12628924">
      <w:start w:val="1"/>
      <w:numFmt w:val="bullet"/>
      <w:lvlText w:val=""/>
      <w:lvlJc w:val="left"/>
      <w:pPr>
        <w:tabs>
          <w:tab w:val="num" w:pos="720"/>
        </w:tabs>
        <w:ind w:left="720" w:hanging="360"/>
      </w:pPr>
      <w:rPr>
        <w:rFonts w:ascii="Wingdings" w:hAnsi="Wingdings" w:hint="default"/>
      </w:rPr>
    </w:lvl>
    <w:lvl w:ilvl="1" w:tplc="C8D29CD2" w:tentative="1">
      <w:start w:val="1"/>
      <w:numFmt w:val="bullet"/>
      <w:lvlText w:val=""/>
      <w:lvlJc w:val="left"/>
      <w:pPr>
        <w:tabs>
          <w:tab w:val="num" w:pos="1440"/>
        </w:tabs>
        <w:ind w:left="1440" w:hanging="360"/>
      </w:pPr>
      <w:rPr>
        <w:rFonts w:ascii="Wingdings" w:hAnsi="Wingdings" w:hint="default"/>
      </w:rPr>
    </w:lvl>
    <w:lvl w:ilvl="2" w:tplc="B450E346" w:tentative="1">
      <w:start w:val="1"/>
      <w:numFmt w:val="bullet"/>
      <w:lvlText w:val=""/>
      <w:lvlJc w:val="left"/>
      <w:pPr>
        <w:tabs>
          <w:tab w:val="num" w:pos="2160"/>
        </w:tabs>
        <w:ind w:left="2160" w:hanging="360"/>
      </w:pPr>
      <w:rPr>
        <w:rFonts w:ascii="Wingdings" w:hAnsi="Wingdings" w:hint="default"/>
      </w:rPr>
    </w:lvl>
    <w:lvl w:ilvl="3" w:tplc="A2F067C8" w:tentative="1">
      <w:start w:val="1"/>
      <w:numFmt w:val="bullet"/>
      <w:lvlText w:val=""/>
      <w:lvlJc w:val="left"/>
      <w:pPr>
        <w:tabs>
          <w:tab w:val="num" w:pos="2880"/>
        </w:tabs>
        <w:ind w:left="2880" w:hanging="360"/>
      </w:pPr>
      <w:rPr>
        <w:rFonts w:ascii="Wingdings" w:hAnsi="Wingdings" w:hint="default"/>
      </w:rPr>
    </w:lvl>
    <w:lvl w:ilvl="4" w:tplc="E89C5748" w:tentative="1">
      <w:start w:val="1"/>
      <w:numFmt w:val="bullet"/>
      <w:lvlText w:val=""/>
      <w:lvlJc w:val="left"/>
      <w:pPr>
        <w:tabs>
          <w:tab w:val="num" w:pos="3600"/>
        </w:tabs>
        <w:ind w:left="3600" w:hanging="360"/>
      </w:pPr>
      <w:rPr>
        <w:rFonts w:ascii="Wingdings" w:hAnsi="Wingdings" w:hint="default"/>
      </w:rPr>
    </w:lvl>
    <w:lvl w:ilvl="5" w:tplc="C5EC9232" w:tentative="1">
      <w:start w:val="1"/>
      <w:numFmt w:val="bullet"/>
      <w:lvlText w:val=""/>
      <w:lvlJc w:val="left"/>
      <w:pPr>
        <w:tabs>
          <w:tab w:val="num" w:pos="4320"/>
        </w:tabs>
        <w:ind w:left="4320" w:hanging="360"/>
      </w:pPr>
      <w:rPr>
        <w:rFonts w:ascii="Wingdings" w:hAnsi="Wingdings" w:hint="default"/>
      </w:rPr>
    </w:lvl>
    <w:lvl w:ilvl="6" w:tplc="1D92BBDE" w:tentative="1">
      <w:start w:val="1"/>
      <w:numFmt w:val="bullet"/>
      <w:lvlText w:val=""/>
      <w:lvlJc w:val="left"/>
      <w:pPr>
        <w:tabs>
          <w:tab w:val="num" w:pos="5040"/>
        </w:tabs>
        <w:ind w:left="5040" w:hanging="360"/>
      </w:pPr>
      <w:rPr>
        <w:rFonts w:ascii="Wingdings" w:hAnsi="Wingdings" w:hint="default"/>
      </w:rPr>
    </w:lvl>
    <w:lvl w:ilvl="7" w:tplc="BC00E824" w:tentative="1">
      <w:start w:val="1"/>
      <w:numFmt w:val="bullet"/>
      <w:lvlText w:val=""/>
      <w:lvlJc w:val="left"/>
      <w:pPr>
        <w:tabs>
          <w:tab w:val="num" w:pos="5760"/>
        </w:tabs>
        <w:ind w:left="5760" w:hanging="360"/>
      </w:pPr>
      <w:rPr>
        <w:rFonts w:ascii="Wingdings" w:hAnsi="Wingdings" w:hint="default"/>
      </w:rPr>
    </w:lvl>
    <w:lvl w:ilvl="8" w:tplc="460A737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EA47A0"/>
    <w:multiLevelType w:val="multilevel"/>
    <w:tmpl w:val="15361C90"/>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35414F4E"/>
    <w:multiLevelType w:val="hybridMultilevel"/>
    <w:tmpl w:val="2778A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D4745D"/>
    <w:multiLevelType w:val="hybridMultilevel"/>
    <w:tmpl w:val="D1729F24"/>
    <w:lvl w:ilvl="0" w:tplc="2438E694">
      <w:start w:val="1"/>
      <w:numFmt w:val="bullet"/>
      <w:lvlText w:val=""/>
      <w:legacy w:legacy="1" w:legacySpace="0" w:legacyIndent="283"/>
      <w:lvlJc w:val="left"/>
      <w:pPr>
        <w:ind w:left="1363" w:hanging="283"/>
      </w:pPr>
      <w:rPr>
        <w:rFonts w:ascii="Symbol" w:hAnsi="Symbol" w:hint="default"/>
        <w:sz w:val="12"/>
        <w:szCs w:val="1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E724C2"/>
    <w:multiLevelType w:val="hybridMultilevel"/>
    <w:tmpl w:val="3C04E8B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AB73280"/>
    <w:multiLevelType w:val="hybridMultilevel"/>
    <w:tmpl w:val="9ABA5EE4"/>
    <w:lvl w:ilvl="0" w:tplc="47CCD47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02F0BD1"/>
    <w:multiLevelType w:val="hybridMultilevel"/>
    <w:tmpl w:val="0EFE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C5DEC"/>
    <w:multiLevelType w:val="hybridMultilevel"/>
    <w:tmpl w:val="C490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E5F6B"/>
    <w:multiLevelType w:val="hybridMultilevel"/>
    <w:tmpl w:val="0C3827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67712E3"/>
    <w:multiLevelType w:val="multilevel"/>
    <w:tmpl w:val="5270F5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A171FAA"/>
    <w:multiLevelType w:val="hybridMultilevel"/>
    <w:tmpl w:val="D0AA99DC"/>
    <w:lvl w:ilvl="0" w:tplc="B0C645C8">
      <w:start w:val="5"/>
      <w:numFmt w:val="bullet"/>
      <w:lvlText w:val="•"/>
      <w:lvlJc w:val="left"/>
      <w:pPr>
        <w:ind w:left="1080" w:hanging="72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72FF5"/>
    <w:multiLevelType w:val="multilevel"/>
    <w:tmpl w:val="517692AE"/>
    <w:lvl w:ilvl="0">
      <w:start w:val="1"/>
      <w:numFmt w:val="decimal"/>
      <w:lvlText w:val="%1."/>
      <w:lvlJc w:val="left"/>
      <w:pPr>
        <w:ind w:left="720" w:hanging="72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CA221CC"/>
    <w:multiLevelType w:val="hybridMultilevel"/>
    <w:tmpl w:val="8D16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7143A"/>
    <w:multiLevelType w:val="multilevel"/>
    <w:tmpl w:val="3620B35E"/>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3AA6FBD"/>
    <w:multiLevelType w:val="hybridMultilevel"/>
    <w:tmpl w:val="F496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A0CC9"/>
    <w:multiLevelType w:val="hybridMultilevel"/>
    <w:tmpl w:val="6EBA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461E04"/>
    <w:multiLevelType w:val="hybridMultilevel"/>
    <w:tmpl w:val="729896B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15:restartNumberingAfterBreak="0">
    <w:nsid w:val="5C9E676F"/>
    <w:multiLevelType w:val="hybridMultilevel"/>
    <w:tmpl w:val="96444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EB48D6"/>
    <w:multiLevelType w:val="hybridMultilevel"/>
    <w:tmpl w:val="2108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10344"/>
    <w:multiLevelType w:val="hybridMultilevel"/>
    <w:tmpl w:val="26F28348"/>
    <w:lvl w:ilvl="0" w:tplc="27B0D59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AD77D4"/>
    <w:multiLevelType w:val="multilevel"/>
    <w:tmpl w:val="A67453AE"/>
    <w:styleLink w:val="List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7" w15:restartNumberingAfterBreak="0">
    <w:nsid w:val="6F1A0ED5"/>
    <w:multiLevelType w:val="hybridMultilevel"/>
    <w:tmpl w:val="C3E0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02300"/>
    <w:multiLevelType w:val="hybridMultilevel"/>
    <w:tmpl w:val="CCBCBED8"/>
    <w:lvl w:ilvl="0" w:tplc="22F0CDFC">
      <w:start w:val="1"/>
      <w:numFmt w:val="bullet"/>
      <w:lvlText w:val=""/>
      <w:legacy w:legacy="1" w:legacySpace="0" w:legacyIndent="283"/>
      <w:lvlJc w:val="left"/>
      <w:pPr>
        <w:ind w:left="993" w:hanging="283"/>
      </w:pPr>
      <w:rPr>
        <w:rFonts w:ascii="Symbol" w:hAnsi="Symbol" w:hint="default"/>
        <w:sz w:val="18"/>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F3E5171"/>
    <w:multiLevelType w:val="hybridMultilevel"/>
    <w:tmpl w:val="5C64C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8"/>
  </w:num>
  <w:num w:numId="3">
    <w:abstractNumId w:val="13"/>
  </w:num>
  <w:num w:numId="4">
    <w:abstractNumId w:val="24"/>
  </w:num>
  <w:num w:numId="5">
    <w:abstractNumId w:val="20"/>
  </w:num>
  <w:num w:numId="6">
    <w:abstractNumId w:val="3"/>
  </w:num>
  <w:num w:numId="7">
    <w:abstractNumId w:val="30"/>
  </w:num>
  <w:num w:numId="8">
    <w:abstractNumId w:val="15"/>
  </w:num>
  <w:num w:numId="9">
    <w:abstractNumId w:val="9"/>
  </w:num>
  <w:num w:numId="10">
    <w:abstractNumId w:val="0"/>
    <w:lvlOverride w:ilvl="0">
      <w:lvl w:ilvl="0">
        <w:start w:val="1"/>
        <w:numFmt w:val="bullet"/>
        <w:lvlText w:val=""/>
        <w:legacy w:legacy="1" w:legacySpace="0" w:legacyIndent="283"/>
        <w:lvlJc w:val="left"/>
        <w:pPr>
          <w:ind w:left="567" w:hanging="283"/>
        </w:pPr>
        <w:rPr>
          <w:rFonts w:ascii="Symbol" w:hAnsi="Symbol" w:hint="default"/>
          <w:sz w:val="18"/>
        </w:rPr>
      </w:lvl>
    </w:lvlOverride>
  </w:num>
  <w:num w:numId="11">
    <w:abstractNumId w:val="38"/>
  </w:num>
  <w:num w:numId="12">
    <w:abstractNumId w:val="23"/>
  </w:num>
  <w:num w:numId="13">
    <w:abstractNumId w:val="14"/>
  </w:num>
  <w:num w:numId="14">
    <w:abstractNumId w:val="25"/>
  </w:num>
  <w:num w:numId="15">
    <w:abstractNumId w:val="11"/>
  </w:num>
  <w:num w:numId="16">
    <w:abstractNumId w:val="21"/>
  </w:num>
  <w:num w:numId="17">
    <w:abstractNumId w:val="35"/>
  </w:num>
  <w:num w:numId="18">
    <w:abstractNumId w:val="26"/>
  </w:num>
  <w:num w:numId="19">
    <w:abstractNumId w:val="35"/>
  </w:num>
  <w:num w:numId="20">
    <w:abstractNumId w:val="2"/>
  </w:num>
  <w:num w:numId="21">
    <w:abstractNumId w:val="2"/>
  </w:num>
  <w:num w:numId="22">
    <w:abstractNumId w:val="37"/>
  </w:num>
  <w:num w:numId="23">
    <w:abstractNumId w:val="12"/>
  </w:num>
  <w:num w:numId="24">
    <w:abstractNumId w:val="34"/>
  </w:num>
  <w:num w:numId="25">
    <w:abstractNumId w:val="19"/>
  </w:num>
  <w:num w:numId="26">
    <w:abstractNumId w:val="10"/>
  </w:num>
  <w:num w:numId="27">
    <w:abstractNumId w:val="36"/>
  </w:num>
  <w:num w:numId="28">
    <w:abstractNumId w:val="22"/>
  </w:num>
  <w:num w:numId="29">
    <w:abstractNumId w:val="7"/>
  </w:num>
  <w:num w:numId="30">
    <w:abstractNumId w:val="28"/>
  </w:num>
  <w:num w:numId="31">
    <w:abstractNumId w:val="1"/>
  </w:num>
  <w:num w:numId="32">
    <w:abstractNumId w:val="6"/>
  </w:num>
  <w:num w:numId="33">
    <w:abstractNumId w:val="39"/>
  </w:num>
  <w:num w:numId="34">
    <w:abstractNumId w:val="31"/>
  </w:num>
  <w:num w:numId="35">
    <w:abstractNumId w:val="18"/>
  </w:num>
  <w:num w:numId="36">
    <w:abstractNumId w:val="27"/>
  </w:num>
  <w:num w:numId="37">
    <w:abstractNumId w:val="33"/>
  </w:num>
  <w:num w:numId="38">
    <w:abstractNumId w:val="29"/>
  </w:num>
  <w:num w:numId="39">
    <w:abstractNumId w:val="16"/>
  </w:num>
  <w:num w:numId="40">
    <w:abstractNumId w:val="4"/>
  </w:num>
  <w:num w:numId="41">
    <w:abstractNumId w:val="32"/>
  </w:num>
  <w:num w:numId="4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0B"/>
    <w:rsid w:val="00003932"/>
    <w:rsid w:val="000045EE"/>
    <w:rsid w:val="000137DB"/>
    <w:rsid w:val="00013E6E"/>
    <w:rsid w:val="00015456"/>
    <w:rsid w:val="00016703"/>
    <w:rsid w:val="00020C9B"/>
    <w:rsid w:val="00023306"/>
    <w:rsid w:val="00025990"/>
    <w:rsid w:val="0003446E"/>
    <w:rsid w:val="00034F77"/>
    <w:rsid w:val="00034FDA"/>
    <w:rsid w:val="00040C37"/>
    <w:rsid w:val="00043461"/>
    <w:rsid w:val="00045B6D"/>
    <w:rsid w:val="00050670"/>
    <w:rsid w:val="00053889"/>
    <w:rsid w:val="0005560E"/>
    <w:rsid w:val="00057087"/>
    <w:rsid w:val="00057766"/>
    <w:rsid w:val="000577C2"/>
    <w:rsid w:val="000662B7"/>
    <w:rsid w:val="00066A7F"/>
    <w:rsid w:val="00067A1C"/>
    <w:rsid w:val="0007216A"/>
    <w:rsid w:val="00072E24"/>
    <w:rsid w:val="00075AB5"/>
    <w:rsid w:val="00081329"/>
    <w:rsid w:val="00085216"/>
    <w:rsid w:val="00090B13"/>
    <w:rsid w:val="00094F92"/>
    <w:rsid w:val="00096161"/>
    <w:rsid w:val="000A1A7E"/>
    <w:rsid w:val="000A1B41"/>
    <w:rsid w:val="000A2B50"/>
    <w:rsid w:val="000A32E8"/>
    <w:rsid w:val="000A34E6"/>
    <w:rsid w:val="000A38B2"/>
    <w:rsid w:val="000A7B0E"/>
    <w:rsid w:val="000B26DE"/>
    <w:rsid w:val="000B3BFA"/>
    <w:rsid w:val="000C3158"/>
    <w:rsid w:val="000C41F4"/>
    <w:rsid w:val="000D5627"/>
    <w:rsid w:val="000D587C"/>
    <w:rsid w:val="000E0C11"/>
    <w:rsid w:val="000E3FB7"/>
    <w:rsid w:val="000E4A66"/>
    <w:rsid w:val="000F416A"/>
    <w:rsid w:val="000F4D23"/>
    <w:rsid w:val="000F5E92"/>
    <w:rsid w:val="000F7B5E"/>
    <w:rsid w:val="00102475"/>
    <w:rsid w:val="00102C37"/>
    <w:rsid w:val="00104469"/>
    <w:rsid w:val="0010793C"/>
    <w:rsid w:val="001143BB"/>
    <w:rsid w:val="00115DEE"/>
    <w:rsid w:val="0011617A"/>
    <w:rsid w:val="001170B5"/>
    <w:rsid w:val="00131620"/>
    <w:rsid w:val="00135024"/>
    <w:rsid w:val="0013604C"/>
    <w:rsid w:val="00140C62"/>
    <w:rsid w:val="00144D3A"/>
    <w:rsid w:val="001451C8"/>
    <w:rsid w:val="00146FBE"/>
    <w:rsid w:val="00147C07"/>
    <w:rsid w:val="00160679"/>
    <w:rsid w:val="00163985"/>
    <w:rsid w:val="00186B71"/>
    <w:rsid w:val="00186E6A"/>
    <w:rsid w:val="00187019"/>
    <w:rsid w:val="001902E3"/>
    <w:rsid w:val="0019724E"/>
    <w:rsid w:val="001A4DF0"/>
    <w:rsid w:val="001B0774"/>
    <w:rsid w:val="001B4DFA"/>
    <w:rsid w:val="001C6604"/>
    <w:rsid w:val="001D044B"/>
    <w:rsid w:val="001D0DC2"/>
    <w:rsid w:val="001D2E3E"/>
    <w:rsid w:val="001E7253"/>
    <w:rsid w:val="001E7AC1"/>
    <w:rsid w:val="001F3AA9"/>
    <w:rsid w:val="001F79A9"/>
    <w:rsid w:val="00200E72"/>
    <w:rsid w:val="0020514C"/>
    <w:rsid w:val="00205783"/>
    <w:rsid w:val="00207092"/>
    <w:rsid w:val="00213E43"/>
    <w:rsid w:val="00215560"/>
    <w:rsid w:val="00217176"/>
    <w:rsid w:val="00217C4B"/>
    <w:rsid w:val="00221A79"/>
    <w:rsid w:val="00232EBC"/>
    <w:rsid w:val="002338FB"/>
    <w:rsid w:val="00233C79"/>
    <w:rsid w:val="00234C32"/>
    <w:rsid w:val="00243205"/>
    <w:rsid w:val="002441D8"/>
    <w:rsid w:val="00245D33"/>
    <w:rsid w:val="002465A9"/>
    <w:rsid w:val="002466E3"/>
    <w:rsid w:val="00251E91"/>
    <w:rsid w:val="00256318"/>
    <w:rsid w:val="00272267"/>
    <w:rsid w:val="00275379"/>
    <w:rsid w:val="00275D6A"/>
    <w:rsid w:val="002774AB"/>
    <w:rsid w:val="00277A17"/>
    <w:rsid w:val="00277CAC"/>
    <w:rsid w:val="00277FA2"/>
    <w:rsid w:val="00284EC1"/>
    <w:rsid w:val="00285703"/>
    <w:rsid w:val="00287A55"/>
    <w:rsid w:val="00291641"/>
    <w:rsid w:val="002925C3"/>
    <w:rsid w:val="002A48EA"/>
    <w:rsid w:val="002B5938"/>
    <w:rsid w:val="002B7CE1"/>
    <w:rsid w:val="002C5EAE"/>
    <w:rsid w:val="002C727B"/>
    <w:rsid w:val="002D30FB"/>
    <w:rsid w:val="002D3D61"/>
    <w:rsid w:val="002E058B"/>
    <w:rsid w:val="002F2A1F"/>
    <w:rsid w:val="003016CD"/>
    <w:rsid w:val="00301C0B"/>
    <w:rsid w:val="00313BDB"/>
    <w:rsid w:val="0032528C"/>
    <w:rsid w:val="00332D16"/>
    <w:rsid w:val="003409E6"/>
    <w:rsid w:val="00347417"/>
    <w:rsid w:val="0035055B"/>
    <w:rsid w:val="00351436"/>
    <w:rsid w:val="00351C7D"/>
    <w:rsid w:val="003547A1"/>
    <w:rsid w:val="00361183"/>
    <w:rsid w:val="00362860"/>
    <w:rsid w:val="003668C4"/>
    <w:rsid w:val="00367117"/>
    <w:rsid w:val="003700CA"/>
    <w:rsid w:val="003733F0"/>
    <w:rsid w:val="00382F7B"/>
    <w:rsid w:val="00383F1D"/>
    <w:rsid w:val="00392C2F"/>
    <w:rsid w:val="00392F61"/>
    <w:rsid w:val="003A1DF3"/>
    <w:rsid w:val="003A1E20"/>
    <w:rsid w:val="003A2878"/>
    <w:rsid w:val="003B0162"/>
    <w:rsid w:val="003B1751"/>
    <w:rsid w:val="003C3BD1"/>
    <w:rsid w:val="003D18C4"/>
    <w:rsid w:val="003D5B00"/>
    <w:rsid w:val="003D6797"/>
    <w:rsid w:val="003D786D"/>
    <w:rsid w:val="003E0E9B"/>
    <w:rsid w:val="003E2EC5"/>
    <w:rsid w:val="003E6A77"/>
    <w:rsid w:val="003E72E2"/>
    <w:rsid w:val="003F1495"/>
    <w:rsid w:val="003F24A6"/>
    <w:rsid w:val="003F294F"/>
    <w:rsid w:val="003F55F5"/>
    <w:rsid w:val="003F598D"/>
    <w:rsid w:val="003F6C29"/>
    <w:rsid w:val="0040630B"/>
    <w:rsid w:val="00415705"/>
    <w:rsid w:val="004158C2"/>
    <w:rsid w:val="004179FD"/>
    <w:rsid w:val="004202A7"/>
    <w:rsid w:val="00420D7F"/>
    <w:rsid w:val="004235DB"/>
    <w:rsid w:val="004379C6"/>
    <w:rsid w:val="004504AA"/>
    <w:rsid w:val="00451200"/>
    <w:rsid w:val="00457B03"/>
    <w:rsid w:val="00461946"/>
    <w:rsid w:val="004619F9"/>
    <w:rsid w:val="00464224"/>
    <w:rsid w:val="00467DD3"/>
    <w:rsid w:val="00471A5B"/>
    <w:rsid w:val="00477AA3"/>
    <w:rsid w:val="00480BBF"/>
    <w:rsid w:val="004810B8"/>
    <w:rsid w:val="00481E94"/>
    <w:rsid w:val="00482293"/>
    <w:rsid w:val="004905D2"/>
    <w:rsid w:val="00495A55"/>
    <w:rsid w:val="004A19C1"/>
    <w:rsid w:val="004A5124"/>
    <w:rsid w:val="004B2FE8"/>
    <w:rsid w:val="004B547C"/>
    <w:rsid w:val="004B6A45"/>
    <w:rsid w:val="004C0D12"/>
    <w:rsid w:val="004C2290"/>
    <w:rsid w:val="004E2060"/>
    <w:rsid w:val="004E6BA7"/>
    <w:rsid w:val="004F1819"/>
    <w:rsid w:val="004F3510"/>
    <w:rsid w:val="004F49D6"/>
    <w:rsid w:val="004F4C29"/>
    <w:rsid w:val="004F7B09"/>
    <w:rsid w:val="005016DD"/>
    <w:rsid w:val="00504445"/>
    <w:rsid w:val="00506608"/>
    <w:rsid w:val="005078E0"/>
    <w:rsid w:val="00507F04"/>
    <w:rsid w:val="005262E1"/>
    <w:rsid w:val="005300A7"/>
    <w:rsid w:val="00532776"/>
    <w:rsid w:val="00536BC9"/>
    <w:rsid w:val="00536D86"/>
    <w:rsid w:val="00540D1B"/>
    <w:rsid w:val="00547D18"/>
    <w:rsid w:val="00550645"/>
    <w:rsid w:val="00550AB8"/>
    <w:rsid w:val="005510F0"/>
    <w:rsid w:val="00551862"/>
    <w:rsid w:val="005535A9"/>
    <w:rsid w:val="005545B4"/>
    <w:rsid w:val="0055635A"/>
    <w:rsid w:val="00561181"/>
    <w:rsid w:val="005741FA"/>
    <w:rsid w:val="00574AC0"/>
    <w:rsid w:val="00575BB9"/>
    <w:rsid w:val="00582642"/>
    <w:rsid w:val="005841CB"/>
    <w:rsid w:val="005877D7"/>
    <w:rsid w:val="0059041B"/>
    <w:rsid w:val="00593AA7"/>
    <w:rsid w:val="00595CFD"/>
    <w:rsid w:val="005A04E3"/>
    <w:rsid w:val="005A1A62"/>
    <w:rsid w:val="005A220A"/>
    <w:rsid w:val="005A6191"/>
    <w:rsid w:val="005A6BFD"/>
    <w:rsid w:val="005B03D2"/>
    <w:rsid w:val="005B0CCB"/>
    <w:rsid w:val="005B473A"/>
    <w:rsid w:val="005C318E"/>
    <w:rsid w:val="005D759F"/>
    <w:rsid w:val="005E1440"/>
    <w:rsid w:val="005E3759"/>
    <w:rsid w:val="005E6147"/>
    <w:rsid w:val="005F3E59"/>
    <w:rsid w:val="005F770C"/>
    <w:rsid w:val="005F7FAC"/>
    <w:rsid w:val="00603141"/>
    <w:rsid w:val="00603B8C"/>
    <w:rsid w:val="00610462"/>
    <w:rsid w:val="00610538"/>
    <w:rsid w:val="0061423D"/>
    <w:rsid w:val="00616792"/>
    <w:rsid w:val="0061799F"/>
    <w:rsid w:val="0062021D"/>
    <w:rsid w:val="00633767"/>
    <w:rsid w:val="00633DE5"/>
    <w:rsid w:val="00643406"/>
    <w:rsid w:val="00647C79"/>
    <w:rsid w:val="00650616"/>
    <w:rsid w:val="00651301"/>
    <w:rsid w:val="00652140"/>
    <w:rsid w:val="00653E6F"/>
    <w:rsid w:val="00661B29"/>
    <w:rsid w:val="00664574"/>
    <w:rsid w:val="00676940"/>
    <w:rsid w:val="006779BD"/>
    <w:rsid w:val="00677B17"/>
    <w:rsid w:val="0068326C"/>
    <w:rsid w:val="006842DD"/>
    <w:rsid w:val="00685661"/>
    <w:rsid w:val="00691065"/>
    <w:rsid w:val="006971B7"/>
    <w:rsid w:val="006B1992"/>
    <w:rsid w:val="006B5382"/>
    <w:rsid w:val="006B61C7"/>
    <w:rsid w:val="006C208A"/>
    <w:rsid w:val="006C35ED"/>
    <w:rsid w:val="006D03B4"/>
    <w:rsid w:val="006D1BD4"/>
    <w:rsid w:val="006D1BFA"/>
    <w:rsid w:val="006D3396"/>
    <w:rsid w:val="006E328C"/>
    <w:rsid w:val="006E5289"/>
    <w:rsid w:val="006F0BD3"/>
    <w:rsid w:val="006F5953"/>
    <w:rsid w:val="0070104C"/>
    <w:rsid w:val="007079C4"/>
    <w:rsid w:val="00714545"/>
    <w:rsid w:val="0071599D"/>
    <w:rsid w:val="00720AD0"/>
    <w:rsid w:val="00722518"/>
    <w:rsid w:val="0072545C"/>
    <w:rsid w:val="00735953"/>
    <w:rsid w:val="007365B3"/>
    <w:rsid w:val="00741879"/>
    <w:rsid w:val="00750FB1"/>
    <w:rsid w:val="00752096"/>
    <w:rsid w:val="00754DE2"/>
    <w:rsid w:val="00755F06"/>
    <w:rsid w:val="00757FFD"/>
    <w:rsid w:val="00766896"/>
    <w:rsid w:val="0078085E"/>
    <w:rsid w:val="00780A75"/>
    <w:rsid w:val="0079043D"/>
    <w:rsid w:val="007936C3"/>
    <w:rsid w:val="0079483B"/>
    <w:rsid w:val="00797CA4"/>
    <w:rsid w:val="007A0BFC"/>
    <w:rsid w:val="007A0C15"/>
    <w:rsid w:val="007A2DAF"/>
    <w:rsid w:val="007B35FA"/>
    <w:rsid w:val="007B4EF5"/>
    <w:rsid w:val="007B5245"/>
    <w:rsid w:val="007B67A6"/>
    <w:rsid w:val="007C090F"/>
    <w:rsid w:val="007C242E"/>
    <w:rsid w:val="007C2A29"/>
    <w:rsid w:val="007C36EA"/>
    <w:rsid w:val="007C4EB1"/>
    <w:rsid w:val="007C525E"/>
    <w:rsid w:val="007C71B6"/>
    <w:rsid w:val="007D4007"/>
    <w:rsid w:val="007D4B06"/>
    <w:rsid w:val="007D7012"/>
    <w:rsid w:val="007E144B"/>
    <w:rsid w:val="007E527B"/>
    <w:rsid w:val="007F1A08"/>
    <w:rsid w:val="007F1BEA"/>
    <w:rsid w:val="007F6754"/>
    <w:rsid w:val="007F6E41"/>
    <w:rsid w:val="00800801"/>
    <w:rsid w:val="00800B2A"/>
    <w:rsid w:val="008045EB"/>
    <w:rsid w:val="008076B6"/>
    <w:rsid w:val="00810E07"/>
    <w:rsid w:val="0081300A"/>
    <w:rsid w:val="00822F06"/>
    <w:rsid w:val="00823A68"/>
    <w:rsid w:val="0082655F"/>
    <w:rsid w:val="008271B4"/>
    <w:rsid w:val="00827BB2"/>
    <w:rsid w:val="008311DC"/>
    <w:rsid w:val="00841278"/>
    <w:rsid w:val="0084396D"/>
    <w:rsid w:val="00843F64"/>
    <w:rsid w:val="008469E7"/>
    <w:rsid w:val="008503CE"/>
    <w:rsid w:val="008538DA"/>
    <w:rsid w:val="00860C00"/>
    <w:rsid w:val="00860EAE"/>
    <w:rsid w:val="00863CB1"/>
    <w:rsid w:val="00863D07"/>
    <w:rsid w:val="00865698"/>
    <w:rsid w:val="008702B5"/>
    <w:rsid w:val="0087604E"/>
    <w:rsid w:val="00877552"/>
    <w:rsid w:val="00880D94"/>
    <w:rsid w:val="00883A9D"/>
    <w:rsid w:val="0088720C"/>
    <w:rsid w:val="00891A75"/>
    <w:rsid w:val="008921A0"/>
    <w:rsid w:val="00894308"/>
    <w:rsid w:val="008A0700"/>
    <w:rsid w:val="008B5569"/>
    <w:rsid w:val="008C0031"/>
    <w:rsid w:val="008C25F1"/>
    <w:rsid w:val="008C265D"/>
    <w:rsid w:val="008C3C8B"/>
    <w:rsid w:val="008C5104"/>
    <w:rsid w:val="008C5ECF"/>
    <w:rsid w:val="008D1287"/>
    <w:rsid w:val="008D79FF"/>
    <w:rsid w:val="008E12BE"/>
    <w:rsid w:val="008E27FB"/>
    <w:rsid w:val="008E41F9"/>
    <w:rsid w:val="0090224E"/>
    <w:rsid w:val="0091029C"/>
    <w:rsid w:val="009136AE"/>
    <w:rsid w:val="00914A56"/>
    <w:rsid w:val="0091685A"/>
    <w:rsid w:val="009214FB"/>
    <w:rsid w:val="00923FB2"/>
    <w:rsid w:val="009269B3"/>
    <w:rsid w:val="00931FB3"/>
    <w:rsid w:val="00932C24"/>
    <w:rsid w:val="00932EE8"/>
    <w:rsid w:val="00935D94"/>
    <w:rsid w:val="009418EC"/>
    <w:rsid w:val="0094465F"/>
    <w:rsid w:val="00946B63"/>
    <w:rsid w:val="00950D53"/>
    <w:rsid w:val="0096200E"/>
    <w:rsid w:val="00962DDD"/>
    <w:rsid w:val="00965798"/>
    <w:rsid w:val="00970A86"/>
    <w:rsid w:val="00974969"/>
    <w:rsid w:val="00974CAE"/>
    <w:rsid w:val="009770BF"/>
    <w:rsid w:val="00982D55"/>
    <w:rsid w:val="0098393B"/>
    <w:rsid w:val="00985A8A"/>
    <w:rsid w:val="00992378"/>
    <w:rsid w:val="00995A98"/>
    <w:rsid w:val="00996E74"/>
    <w:rsid w:val="009A19CB"/>
    <w:rsid w:val="009A19DF"/>
    <w:rsid w:val="009A2617"/>
    <w:rsid w:val="009A6ED1"/>
    <w:rsid w:val="009B4C00"/>
    <w:rsid w:val="009B6DA8"/>
    <w:rsid w:val="009C4F1A"/>
    <w:rsid w:val="009D2AA9"/>
    <w:rsid w:val="009D2F97"/>
    <w:rsid w:val="009E48A6"/>
    <w:rsid w:val="009E6793"/>
    <w:rsid w:val="009F74AC"/>
    <w:rsid w:val="00A036BF"/>
    <w:rsid w:val="00A044C1"/>
    <w:rsid w:val="00A049BA"/>
    <w:rsid w:val="00A04A86"/>
    <w:rsid w:val="00A13DDA"/>
    <w:rsid w:val="00A152E4"/>
    <w:rsid w:val="00A1775A"/>
    <w:rsid w:val="00A2024B"/>
    <w:rsid w:val="00A23B82"/>
    <w:rsid w:val="00A260D2"/>
    <w:rsid w:val="00A26740"/>
    <w:rsid w:val="00A2720C"/>
    <w:rsid w:val="00A31C01"/>
    <w:rsid w:val="00A329D2"/>
    <w:rsid w:val="00A3519B"/>
    <w:rsid w:val="00A36118"/>
    <w:rsid w:val="00A43424"/>
    <w:rsid w:val="00A43C91"/>
    <w:rsid w:val="00A464B3"/>
    <w:rsid w:val="00A55FA9"/>
    <w:rsid w:val="00A56AE7"/>
    <w:rsid w:val="00A64C2E"/>
    <w:rsid w:val="00A66D7F"/>
    <w:rsid w:val="00A73007"/>
    <w:rsid w:val="00A81D19"/>
    <w:rsid w:val="00A862E5"/>
    <w:rsid w:val="00A908CC"/>
    <w:rsid w:val="00A91F47"/>
    <w:rsid w:val="00A92C4C"/>
    <w:rsid w:val="00AA00B3"/>
    <w:rsid w:val="00AA245E"/>
    <w:rsid w:val="00AA4E42"/>
    <w:rsid w:val="00AA5691"/>
    <w:rsid w:val="00AA7B3C"/>
    <w:rsid w:val="00AB3B53"/>
    <w:rsid w:val="00AB4BA1"/>
    <w:rsid w:val="00AB7742"/>
    <w:rsid w:val="00AC0C89"/>
    <w:rsid w:val="00AC0ECD"/>
    <w:rsid w:val="00AC23A8"/>
    <w:rsid w:val="00AC2B3B"/>
    <w:rsid w:val="00AC3A9F"/>
    <w:rsid w:val="00AD08C8"/>
    <w:rsid w:val="00AD0BBD"/>
    <w:rsid w:val="00AD0D79"/>
    <w:rsid w:val="00AD0E87"/>
    <w:rsid w:val="00AD15ED"/>
    <w:rsid w:val="00AD419B"/>
    <w:rsid w:val="00AD53EF"/>
    <w:rsid w:val="00AD79F0"/>
    <w:rsid w:val="00AE032B"/>
    <w:rsid w:val="00AE3AF3"/>
    <w:rsid w:val="00AE3B78"/>
    <w:rsid w:val="00AE6184"/>
    <w:rsid w:val="00AF1EF4"/>
    <w:rsid w:val="00AF1F7A"/>
    <w:rsid w:val="00AF47E6"/>
    <w:rsid w:val="00AF530C"/>
    <w:rsid w:val="00AF6AB9"/>
    <w:rsid w:val="00B00F15"/>
    <w:rsid w:val="00B02259"/>
    <w:rsid w:val="00B15B98"/>
    <w:rsid w:val="00B16A96"/>
    <w:rsid w:val="00B2003D"/>
    <w:rsid w:val="00B2148E"/>
    <w:rsid w:val="00B2212E"/>
    <w:rsid w:val="00B224F9"/>
    <w:rsid w:val="00B235A2"/>
    <w:rsid w:val="00B275D8"/>
    <w:rsid w:val="00B27B53"/>
    <w:rsid w:val="00B31E73"/>
    <w:rsid w:val="00B41D49"/>
    <w:rsid w:val="00B4481D"/>
    <w:rsid w:val="00B45A3F"/>
    <w:rsid w:val="00B47AF1"/>
    <w:rsid w:val="00B50F21"/>
    <w:rsid w:val="00B51134"/>
    <w:rsid w:val="00B602A4"/>
    <w:rsid w:val="00B607AE"/>
    <w:rsid w:val="00B6347E"/>
    <w:rsid w:val="00B86B3B"/>
    <w:rsid w:val="00B90874"/>
    <w:rsid w:val="00B91ABA"/>
    <w:rsid w:val="00B92CF1"/>
    <w:rsid w:val="00B92DAE"/>
    <w:rsid w:val="00BA5082"/>
    <w:rsid w:val="00BB3A20"/>
    <w:rsid w:val="00BB453A"/>
    <w:rsid w:val="00BB4587"/>
    <w:rsid w:val="00BB4C19"/>
    <w:rsid w:val="00BC1641"/>
    <w:rsid w:val="00BC3F85"/>
    <w:rsid w:val="00BD6370"/>
    <w:rsid w:val="00BD7599"/>
    <w:rsid w:val="00BE2FED"/>
    <w:rsid w:val="00BE3CE5"/>
    <w:rsid w:val="00BF0506"/>
    <w:rsid w:val="00BF0FD1"/>
    <w:rsid w:val="00BF19B8"/>
    <w:rsid w:val="00BF289B"/>
    <w:rsid w:val="00BF33DD"/>
    <w:rsid w:val="00BF76F4"/>
    <w:rsid w:val="00C029B4"/>
    <w:rsid w:val="00C06EC5"/>
    <w:rsid w:val="00C13688"/>
    <w:rsid w:val="00C13F68"/>
    <w:rsid w:val="00C14F92"/>
    <w:rsid w:val="00C178DE"/>
    <w:rsid w:val="00C17FA4"/>
    <w:rsid w:val="00C2176F"/>
    <w:rsid w:val="00C22471"/>
    <w:rsid w:val="00C24905"/>
    <w:rsid w:val="00C31443"/>
    <w:rsid w:val="00C3160A"/>
    <w:rsid w:val="00C37857"/>
    <w:rsid w:val="00C44F27"/>
    <w:rsid w:val="00C50BD4"/>
    <w:rsid w:val="00C524AD"/>
    <w:rsid w:val="00C6577B"/>
    <w:rsid w:val="00C660FA"/>
    <w:rsid w:val="00C66288"/>
    <w:rsid w:val="00C67FF3"/>
    <w:rsid w:val="00C70130"/>
    <w:rsid w:val="00C91E91"/>
    <w:rsid w:val="00C95033"/>
    <w:rsid w:val="00C96993"/>
    <w:rsid w:val="00CA16C6"/>
    <w:rsid w:val="00CA324A"/>
    <w:rsid w:val="00CA4968"/>
    <w:rsid w:val="00CA7572"/>
    <w:rsid w:val="00CB2F4E"/>
    <w:rsid w:val="00CB5962"/>
    <w:rsid w:val="00CB5CCB"/>
    <w:rsid w:val="00CB5FF9"/>
    <w:rsid w:val="00CB6A04"/>
    <w:rsid w:val="00CC1F70"/>
    <w:rsid w:val="00CC3B53"/>
    <w:rsid w:val="00CE50DA"/>
    <w:rsid w:val="00CE7CF6"/>
    <w:rsid w:val="00CF083E"/>
    <w:rsid w:val="00CF5E98"/>
    <w:rsid w:val="00CF6B9E"/>
    <w:rsid w:val="00D0762E"/>
    <w:rsid w:val="00D07A73"/>
    <w:rsid w:val="00D1046F"/>
    <w:rsid w:val="00D2153E"/>
    <w:rsid w:val="00D30917"/>
    <w:rsid w:val="00D340CC"/>
    <w:rsid w:val="00D354EC"/>
    <w:rsid w:val="00D357A7"/>
    <w:rsid w:val="00D3590F"/>
    <w:rsid w:val="00D37AC1"/>
    <w:rsid w:val="00D42812"/>
    <w:rsid w:val="00D42BE8"/>
    <w:rsid w:val="00D463C9"/>
    <w:rsid w:val="00D465F9"/>
    <w:rsid w:val="00D5196E"/>
    <w:rsid w:val="00D532DB"/>
    <w:rsid w:val="00D538E2"/>
    <w:rsid w:val="00D546AC"/>
    <w:rsid w:val="00D558CB"/>
    <w:rsid w:val="00D569CD"/>
    <w:rsid w:val="00D610E1"/>
    <w:rsid w:val="00D61B63"/>
    <w:rsid w:val="00D635B5"/>
    <w:rsid w:val="00D65424"/>
    <w:rsid w:val="00D65E6B"/>
    <w:rsid w:val="00D73ADA"/>
    <w:rsid w:val="00D759C9"/>
    <w:rsid w:val="00D8240B"/>
    <w:rsid w:val="00D84DEF"/>
    <w:rsid w:val="00D86086"/>
    <w:rsid w:val="00D86663"/>
    <w:rsid w:val="00D91015"/>
    <w:rsid w:val="00D91A25"/>
    <w:rsid w:val="00D922C9"/>
    <w:rsid w:val="00D93532"/>
    <w:rsid w:val="00D93999"/>
    <w:rsid w:val="00D968AF"/>
    <w:rsid w:val="00DB1360"/>
    <w:rsid w:val="00DB40D8"/>
    <w:rsid w:val="00DB4AB1"/>
    <w:rsid w:val="00DC0D5F"/>
    <w:rsid w:val="00DC7D0B"/>
    <w:rsid w:val="00DD1084"/>
    <w:rsid w:val="00DD5B79"/>
    <w:rsid w:val="00DE2662"/>
    <w:rsid w:val="00DE3471"/>
    <w:rsid w:val="00DE3677"/>
    <w:rsid w:val="00DF0B5B"/>
    <w:rsid w:val="00DF3852"/>
    <w:rsid w:val="00DF510A"/>
    <w:rsid w:val="00DF5C1B"/>
    <w:rsid w:val="00E016C4"/>
    <w:rsid w:val="00E05685"/>
    <w:rsid w:val="00E102C4"/>
    <w:rsid w:val="00E125BC"/>
    <w:rsid w:val="00E13CB0"/>
    <w:rsid w:val="00E140AD"/>
    <w:rsid w:val="00E15A53"/>
    <w:rsid w:val="00E20AE3"/>
    <w:rsid w:val="00E21386"/>
    <w:rsid w:val="00E26770"/>
    <w:rsid w:val="00E31179"/>
    <w:rsid w:val="00E371F0"/>
    <w:rsid w:val="00E50DF8"/>
    <w:rsid w:val="00E55677"/>
    <w:rsid w:val="00E5600A"/>
    <w:rsid w:val="00E56B9C"/>
    <w:rsid w:val="00E56E78"/>
    <w:rsid w:val="00E57DE5"/>
    <w:rsid w:val="00E608A2"/>
    <w:rsid w:val="00E75715"/>
    <w:rsid w:val="00E86FF3"/>
    <w:rsid w:val="00E8740A"/>
    <w:rsid w:val="00E95397"/>
    <w:rsid w:val="00EA6E8D"/>
    <w:rsid w:val="00EB5E83"/>
    <w:rsid w:val="00EB6537"/>
    <w:rsid w:val="00EC0C43"/>
    <w:rsid w:val="00EC4635"/>
    <w:rsid w:val="00EC4EF8"/>
    <w:rsid w:val="00EC5755"/>
    <w:rsid w:val="00EC660C"/>
    <w:rsid w:val="00ED327C"/>
    <w:rsid w:val="00ED57F5"/>
    <w:rsid w:val="00ED58E1"/>
    <w:rsid w:val="00ED5AB2"/>
    <w:rsid w:val="00EE296D"/>
    <w:rsid w:val="00EE668D"/>
    <w:rsid w:val="00F0114F"/>
    <w:rsid w:val="00F01551"/>
    <w:rsid w:val="00F02F61"/>
    <w:rsid w:val="00F06120"/>
    <w:rsid w:val="00F10704"/>
    <w:rsid w:val="00F1117F"/>
    <w:rsid w:val="00F11AF0"/>
    <w:rsid w:val="00F14BC2"/>
    <w:rsid w:val="00F1617C"/>
    <w:rsid w:val="00F17EDA"/>
    <w:rsid w:val="00F23893"/>
    <w:rsid w:val="00F25AD0"/>
    <w:rsid w:val="00F329AE"/>
    <w:rsid w:val="00F32DDB"/>
    <w:rsid w:val="00F425CC"/>
    <w:rsid w:val="00F42C61"/>
    <w:rsid w:val="00F4760B"/>
    <w:rsid w:val="00F47B2A"/>
    <w:rsid w:val="00F547BC"/>
    <w:rsid w:val="00F57ABE"/>
    <w:rsid w:val="00F617FD"/>
    <w:rsid w:val="00F61C39"/>
    <w:rsid w:val="00F63785"/>
    <w:rsid w:val="00F637E1"/>
    <w:rsid w:val="00F64EC3"/>
    <w:rsid w:val="00F71552"/>
    <w:rsid w:val="00F73EE4"/>
    <w:rsid w:val="00F861B8"/>
    <w:rsid w:val="00F92044"/>
    <w:rsid w:val="00F93D52"/>
    <w:rsid w:val="00F95138"/>
    <w:rsid w:val="00F95A4B"/>
    <w:rsid w:val="00F96065"/>
    <w:rsid w:val="00FA0DF9"/>
    <w:rsid w:val="00FA1C52"/>
    <w:rsid w:val="00FA5EFC"/>
    <w:rsid w:val="00FA6BF1"/>
    <w:rsid w:val="00FA73F3"/>
    <w:rsid w:val="00FA7F5C"/>
    <w:rsid w:val="00FB0846"/>
    <w:rsid w:val="00FB2064"/>
    <w:rsid w:val="00FB2D90"/>
    <w:rsid w:val="00FB32C8"/>
    <w:rsid w:val="00FB4991"/>
    <w:rsid w:val="00FB70CD"/>
    <w:rsid w:val="00FC21C4"/>
    <w:rsid w:val="00FC310C"/>
    <w:rsid w:val="00FC522C"/>
    <w:rsid w:val="00FC67A8"/>
    <w:rsid w:val="00FC772C"/>
    <w:rsid w:val="00FD0E3C"/>
    <w:rsid w:val="00FD2BA4"/>
    <w:rsid w:val="00FD2EAA"/>
    <w:rsid w:val="00FE3053"/>
    <w:rsid w:val="00FE4D28"/>
    <w:rsid w:val="00FE628E"/>
    <w:rsid w:val="00FE721D"/>
    <w:rsid w:val="00FF008E"/>
    <w:rsid w:val="00FF09C7"/>
    <w:rsid w:val="00FF116C"/>
    <w:rsid w:val="00FF3D1D"/>
    <w:rsid w:val="00FF6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ABB853-7DAD-48F6-8A4F-DB9E3D64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30B"/>
    <w:pPr>
      <w:spacing w:after="0" w:line="240" w:lineRule="auto"/>
    </w:pPr>
    <w:rPr>
      <w:rFonts w:ascii="Arial" w:hAnsi="Arial" w:cs="Arial"/>
      <w:sz w:val="24"/>
      <w:szCs w:val="24"/>
      <w:lang w:eastAsia="en-GB"/>
    </w:rPr>
  </w:style>
  <w:style w:type="paragraph" w:styleId="Heading2">
    <w:name w:val="heading 2"/>
    <w:basedOn w:val="Normal"/>
    <w:next w:val="Normal"/>
    <w:link w:val="Heading2Char"/>
    <w:uiPriority w:val="99"/>
    <w:qFormat/>
    <w:rsid w:val="0040630B"/>
    <w:pPr>
      <w:keepNext/>
      <w:jc w:val="center"/>
      <w:outlineLvl w:val="1"/>
    </w:pPr>
    <w:rPr>
      <w:b/>
      <w:bCs/>
      <w:sz w:val="18"/>
      <w:szCs w:val="18"/>
    </w:rPr>
  </w:style>
  <w:style w:type="paragraph" w:styleId="Heading3">
    <w:name w:val="heading 3"/>
    <w:basedOn w:val="Normal"/>
    <w:next w:val="Normal"/>
    <w:link w:val="Heading3Char"/>
    <w:uiPriority w:val="99"/>
    <w:qFormat/>
    <w:rsid w:val="0040630B"/>
    <w:pPr>
      <w:keepNext/>
      <w:spacing w:before="240" w:after="60"/>
      <w:outlineLvl w:val="2"/>
    </w:pPr>
    <w:rPr>
      <w:b/>
      <w:bCs/>
      <w:sz w:val="26"/>
      <w:szCs w:val="26"/>
    </w:rPr>
  </w:style>
  <w:style w:type="paragraph" w:styleId="Heading4">
    <w:name w:val="heading 4"/>
    <w:basedOn w:val="Normal"/>
    <w:next w:val="Normal"/>
    <w:link w:val="Heading4Char"/>
    <w:uiPriority w:val="99"/>
    <w:qFormat/>
    <w:rsid w:val="0040630B"/>
    <w:pPr>
      <w:keepNext/>
      <w:jc w:val="right"/>
      <w:outlineLvl w:val="3"/>
    </w:pPr>
    <w:rPr>
      <w:b/>
      <w:bCs/>
    </w:rPr>
  </w:style>
  <w:style w:type="paragraph" w:styleId="Heading5">
    <w:name w:val="heading 5"/>
    <w:basedOn w:val="Normal"/>
    <w:next w:val="Normal"/>
    <w:link w:val="Heading5Char"/>
    <w:uiPriority w:val="99"/>
    <w:qFormat/>
    <w:rsid w:val="0040630B"/>
    <w:pPr>
      <w:keepNext/>
      <w:outlineLvl w:val="4"/>
    </w:pPr>
    <w:rPr>
      <w:rFonts w:ascii="Univers" w:hAnsi="Univers" w:cs="Univers"/>
      <w:b/>
      <w:bCs/>
      <w:u w:val="single"/>
    </w:rPr>
  </w:style>
  <w:style w:type="paragraph" w:styleId="Heading6">
    <w:name w:val="heading 6"/>
    <w:basedOn w:val="Normal"/>
    <w:next w:val="Normal"/>
    <w:link w:val="Heading6Char"/>
    <w:uiPriority w:val="99"/>
    <w:qFormat/>
    <w:rsid w:val="0040630B"/>
    <w:pPr>
      <w:keepNext/>
      <w:outlineLvl w:val="5"/>
    </w:pPr>
    <w:rPr>
      <w:rFonts w:ascii="Univers" w:hAnsi="Univers" w:cs="Univers"/>
      <w:b/>
      <w:bCs/>
    </w:rPr>
  </w:style>
  <w:style w:type="paragraph" w:styleId="Heading7">
    <w:name w:val="heading 7"/>
    <w:basedOn w:val="Normal"/>
    <w:next w:val="Normal"/>
    <w:link w:val="Heading7Char"/>
    <w:uiPriority w:val="99"/>
    <w:qFormat/>
    <w:rsid w:val="0040630B"/>
    <w:pPr>
      <w:keepNext/>
      <w:outlineLvl w:val="6"/>
    </w:pPr>
    <w:rPr>
      <w:rFonts w:ascii="Univers" w:hAnsi="Univers" w:cs="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630B"/>
    <w:rPr>
      <w:rFonts w:ascii="Arial" w:hAnsi="Arial" w:cs="Arial"/>
      <w:b/>
      <w:bCs/>
      <w:sz w:val="18"/>
      <w:szCs w:val="18"/>
      <w:lang w:val="x-none" w:eastAsia="en-GB"/>
    </w:rPr>
  </w:style>
  <w:style w:type="character" w:customStyle="1" w:styleId="Heading3Char">
    <w:name w:val="Heading 3 Char"/>
    <w:basedOn w:val="DefaultParagraphFont"/>
    <w:link w:val="Heading3"/>
    <w:uiPriority w:val="99"/>
    <w:locked/>
    <w:rsid w:val="0040630B"/>
    <w:rPr>
      <w:rFonts w:ascii="Arial" w:hAnsi="Arial" w:cs="Arial"/>
      <w:b/>
      <w:bCs/>
      <w:sz w:val="26"/>
      <w:szCs w:val="26"/>
      <w:lang w:val="x-none" w:eastAsia="en-GB"/>
    </w:rPr>
  </w:style>
  <w:style w:type="character" w:customStyle="1" w:styleId="Heading4Char">
    <w:name w:val="Heading 4 Char"/>
    <w:basedOn w:val="DefaultParagraphFont"/>
    <w:link w:val="Heading4"/>
    <w:uiPriority w:val="99"/>
    <w:locked/>
    <w:rsid w:val="0040630B"/>
    <w:rPr>
      <w:rFonts w:ascii="Arial" w:hAnsi="Arial" w:cs="Arial"/>
      <w:b/>
      <w:bCs/>
      <w:sz w:val="24"/>
      <w:szCs w:val="24"/>
      <w:lang w:val="x-none" w:eastAsia="en-GB"/>
    </w:rPr>
  </w:style>
  <w:style w:type="character" w:customStyle="1" w:styleId="Heading5Char">
    <w:name w:val="Heading 5 Char"/>
    <w:basedOn w:val="DefaultParagraphFont"/>
    <w:link w:val="Heading5"/>
    <w:uiPriority w:val="99"/>
    <w:locked/>
    <w:rsid w:val="0040630B"/>
    <w:rPr>
      <w:rFonts w:ascii="Univers" w:hAnsi="Univers" w:cs="Univers"/>
      <w:b/>
      <w:bCs/>
      <w:sz w:val="24"/>
      <w:szCs w:val="24"/>
      <w:u w:val="single"/>
      <w:lang w:val="x-none" w:eastAsia="en-GB"/>
    </w:rPr>
  </w:style>
  <w:style w:type="character" w:customStyle="1" w:styleId="Heading6Char">
    <w:name w:val="Heading 6 Char"/>
    <w:basedOn w:val="DefaultParagraphFont"/>
    <w:link w:val="Heading6"/>
    <w:uiPriority w:val="99"/>
    <w:locked/>
    <w:rsid w:val="0040630B"/>
    <w:rPr>
      <w:rFonts w:ascii="Univers" w:hAnsi="Univers" w:cs="Univers"/>
      <w:b/>
      <w:bCs/>
      <w:sz w:val="24"/>
      <w:szCs w:val="24"/>
      <w:lang w:val="x-none" w:eastAsia="en-GB"/>
    </w:rPr>
  </w:style>
  <w:style w:type="character" w:customStyle="1" w:styleId="Heading7Char">
    <w:name w:val="Heading 7 Char"/>
    <w:basedOn w:val="DefaultParagraphFont"/>
    <w:link w:val="Heading7"/>
    <w:uiPriority w:val="99"/>
    <w:locked/>
    <w:rsid w:val="0040630B"/>
    <w:rPr>
      <w:rFonts w:ascii="Univers" w:hAnsi="Univers" w:cs="Univers"/>
      <w:sz w:val="24"/>
      <w:szCs w:val="24"/>
      <w:u w:val="single"/>
      <w:lang w:val="x-none" w:eastAsia="en-GB"/>
    </w:rPr>
  </w:style>
  <w:style w:type="paragraph" w:styleId="Header">
    <w:name w:val="header"/>
    <w:basedOn w:val="Normal"/>
    <w:link w:val="HeaderChar"/>
    <w:uiPriority w:val="99"/>
    <w:rsid w:val="0040630B"/>
    <w:rPr>
      <w:rFonts w:ascii="Universal" w:hAnsi="Times New Roman" w:cs="Universal"/>
    </w:rPr>
  </w:style>
  <w:style w:type="character" w:customStyle="1" w:styleId="HeaderChar">
    <w:name w:val="Header Char"/>
    <w:basedOn w:val="DefaultParagraphFont"/>
    <w:link w:val="Header"/>
    <w:uiPriority w:val="99"/>
    <w:locked/>
    <w:rsid w:val="0040630B"/>
    <w:rPr>
      <w:rFonts w:ascii="Universal" w:eastAsia="Times New Roman" w:cs="Universal"/>
      <w:sz w:val="24"/>
      <w:szCs w:val="24"/>
      <w:lang w:val="x-none" w:eastAsia="en-GB"/>
    </w:rPr>
  </w:style>
  <w:style w:type="paragraph" w:styleId="BodyText2">
    <w:name w:val="Body Text 2"/>
    <w:basedOn w:val="Normal"/>
    <w:link w:val="BodyText2Char"/>
    <w:uiPriority w:val="99"/>
    <w:rsid w:val="0040630B"/>
    <w:pPr>
      <w:spacing w:after="240"/>
      <w:ind w:left="720"/>
    </w:pPr>
  </w:style>
  <w:style w:type="character" w:customStyle="1" w:styleId="BodyText2Char">
    <w:name w:val="Body Text 2 Char"/>
    <w:basedOn w:val="DefaultParagraphFont"/>
    <w:link w:val="BodyText2"/>
    <w:uiPriority w:val="99"/>
    <w:semiHidden/>
    <w:locked/>
    <w:rsid w:val="0040630B"/>
    <w:rPr>
      <w:rFonts w:ascii="Arial" w:hAnsi="Arial" w:cs="Arial"/>
      <w:sz w:val="24"/>
      <w:szCs w:val="24"/>
      <w:lang w:val="x-none" w:eastAsia="en-GB"/>
    </w:rPr>
  </w:style>
  <w:style w:type="paragraph" w:styleId="BodyText">
    <w:name w:val="Body Text"/>
    <w:basedOn w:val="Normal"/>
    <w:link w:val="BodyTextChar"/>
    <w:uiPriority w:val="99"/>
    <w:rsid w:val="0040630B"/>
  </w:style>
  <w:style w:type="character" w:customStyle="1" w:styleId="BodyTextChar">
    <w:name w:val="Body Text Char"/>
    <w:basedOn w:val="DefaultParagraphFont"/>
    <w:link w:val="BodyText"/>
    <w:uiPriority w:val="99"/>
    <w:locked/>
    <w:rsid w:val="0040630B"/>
    <w:rPr>
      <w:rFonts w:ascii="Arial" w:hAnsi="Arial" w:cs="Arial"/>
      <w:sz w:val="24"/>
      <w:szCs w:val="24"/>
      <w:lang w:val="x-none" w:eastAsia="en-GB"/>
    </w:rPr>
  </w:style>
  <w:style w:type="paragraph" w:styleId="Footer">
    <w:name w:val="footer"/>
    <w:basedOn w:val="Normal"/>
    <w:link w:val="FooterChar"/>
    <w:uiPriority w:val="99"/>
    <w:rsid w:val="0040630B"/>
    <w:pPr>
      <w:tabs>
        <w:tab w:val="center" w:pos="4153"/>
        <w:tab w:val="right" w:pos="8306"/>
      </w:tabs>
    </w:pPr>
  </w:style>
  <w:style w:type="character" w:customStyle="1" w:styleId="FooterChar">
    <w:name w:val="Footer Char"/>
    <w:basedOn w:val="DefaultParagraphFont"/>
    <w:link w:val="Footer"/>
    <w:uiPriority w:val="99"/>
    <w:locked/>
    <w:rsid w:val="0040630B"/>
    <w:rPr>
      <w:rFonts w:ascii="Arial" w:hAnsi="Arial" w:cs="Arial"/>
      <w:sz w:val="24"/>
      <w:szCs w:val="24"/>
      <w:lang w:val="x-none" w:eastAsia="en-GB"/>
    </w:rPr>
  </w:style>
  <w:style w:type="character" w:styleId="PageNumber">
    <w:name w:val="page number"/>
    <w:basedOn w:val="DefaultParagraphFont"/>
    <w:uiPriority w:val="99"/>
    <w:rsid w:val="0040630B"/>
    <w:rPr>
      <w:rFonts w:cs="Times New Roman"/>
    </w:rPr>
  </w:style>
  <w:style w:type="paragraph" w:styleId="CommentText">
    <w:name w:val="annotation text"/>
    <w:basedOn w:val="Normal"/>
    <w:link w:val="CommentTextChar"/>
    <w:uiPriority w:val="99"/>
    <w:semiHidden/>
    <w:rsid w:val="0040630B"/>
    <w:rPr>
      <w:sz w:val="20"/>
      <w:szCs w:val="20"/>
    </w:rPr>
  </w:style>
  <w:style w:type="character" w:customStyle="1" w:styleId="CommentTextChar">
    <w:name w:val="Comment Text Char"/>
    <w:basedOn w:val="DefaultParagraphFont"/>
    <w:link w:val="CommentText"/>
    <w:uiPriority w:val="99"/>
    <w:semiHidden/>
    <w:locked/>
    <w:rsid w:val="0040630B"/>
    <w:rPr>
      <w:rFonts w:ascii="Arial" w:hAnsi="Arial" w:cs="Arial"/>
      <w:sz w:val="20"/>
      <w:szCs w:val="20"/>
      <w:lang w:val="x-none" w:eastAsia="en-GB"/>
    </w:rPr>
  </w:style>
  <w:style w:type="paragraph" w:styleId="CommentSubject">
    <w:name w:val="annotation subject"/>
    <w:basedOn w:val="CommentText"/>
    <w:next w:val="CommentText"/>
    <w:link w:val="CommentSubjectChar"/>
    <w:uiPriority w:val="99"/>
    <w:semiHidden/>
    <w:rsid w:val="0040630B"/>
    <w:rPr>
      <w:b/>
      <w:bCs/>
    </w:rPr>
  </w:style>
  <w:style w:type="character" w:customStyle="1" w:styleId="CommentSubjectChar">
    <w:name w:val="Comment Subject Char"/>
    <w:basedOn w:val="CommentTextChar"/>
    <w:link w:val="CommentSubject"/>
    <w:uiPriority w:val="99"/>
    <w:semiHidden/>
    <w:locked/>
    <w:rsid w:val="0040630B"/>
    <w:rPr>
      <w:rFonts w:ascii="Arial" w:hAnsi="Arial" w:cs="Arial"/>
      <w:b/>
      <w:bCs/>
      <w:sz w:val="20"/>
      <w:szCs w:val="20"/>
      <w:lang w:val="x-none" w:eastAsia="en-GB"/>
    </w:rPr>
  </w:style>
  <w:style w:type="paragraph" w:styleId="BalloonText">
    <w:name w:val="Balloon Text"/>
    <w:basedOn w:val="Normal"/>
    <w:link w:val="BalloonTextChar"/>
    <w:uiPriority w:val="99"/>
    <w:semiHidden/>
    <w:rsid w:val="004063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30B"/>
    <w:rPr>
      <w:rFonts w:ascii="Tahoma" w:hAnsi="Tahoma" w:cs="Tahoma"/>
      <w:sz w:val="16"/>
      <w:szCs w:val="16"/>
      <w:lang w:val="x-none" w:eastAsia="en-GB"/>
    </w:rPr>
  </w:style>
  <w:style w:type="paragraph" w:styleId="HTMLPreformatted">
    <w:name w:val="HTML Preformatted"/>
    <w:basedOn w:val="Normal"/>
    <w:link w:val="HTMLPreformattedChar"/>
    <w:uiPriority w:val="99"/>
    <w:rsid w:val="0040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0630B"/>
    <w:rPr>
      <w:rFonts w:ascii="Courier New" w:hAnsi="Courier New" w:cs="Courier New"/>
      <w:sz w:val="20"/>
      <w:szCs w:val="20"/>
      <w:lang w:val="x-none" w:eastAsia="en-GB"/>
    </w:rPr>
  </w:style>
  <w:style w:type="paragraph" w:styleId="Caption">
    <w:name w:val="caption"/>
    <w:basedOn w:val="Normal"/>
    <w:next w:val="Normal"/>
    <w:uiPriority w:val="35"/>
    <w:qFormat/>
    <w:rsid w:val="0040630B"/>
    <w:pPr>
      <w:spacing w:after="240"/>
      <w:ind w:left="720"/>
    </w:pPr>
    <w:rPr>
      <w:b/>
      <w:bCs/>
    </w:rPr>
  </w:style>
  <w:style w:type="paragraph" w:styleId="PlainText">
    <w:name w:val="Plain Text"/>
    <w:basedOn w:val="Normal"/>
    <w:link w:val="PlainTextChar"/>
    <w:uiPriority w:val="99"/>
    <w:rsid w:val="0040630B"/>
    <w:rPr>
      <w:rFonts w:ascii="Consolas" w:hAnsi="Consolas" w:cs="Consolas"/>
      <w:sz w:val="21"/>
      <w:szCs w:val="21"/>
    </w:rPr>
  </w:style>
  <w:style w:type="character" w:customStyle="1" w:styleId="PlainTextChar">
    <w:name w:val="Plain Text Char"/>
    <w:basedOn w:val="DefaultParagraphFont"/>
    <w:link w:val="PlainText"/>
    <w:uiPriority w:val="99"/>
    <w:locked/>
    <w:rsid w:val="0040630B"/>
    <w:rPr>
      <w:rFonts w:ascii="Consolas" w:hAnsi="Consolas" w:cs="Consolas"/>
      <w:sz w:val="21"/>
      <w:szCs w:val="21"/>
      <w:lang w:val="x-none" w:eastAsia="en-GB"/>
    </w:rPr>
  </w:style>
  <w:style w:type="paragraph" w:styleId="ListParagraph">
    <w:name w:val="List Paragraph"/>
    <w:basedOn w:val="Normal"/>
    <w:uiPriority w:val="34"/>
    <w:qFormat/>
    <w:rsid w:val="0040630B"/>
    <w:pPr>
      <w:ind w:left="720"/>
      <w:contextualSpacing/>
    </w:pPr>
  </w:style>
  <w:style w:type="table" w:styleId="TableGrid">
    <w:name w:val="Table Grid"/>
    <w:basedOn w:val="TableNormal"/>
    <w:uiPriority w:val="39"/>
    <w:rsid w:val="0040630B"/>
    <w:pPr>
      <w:spacing w:after="0" w:line="240" w:lineRule="auto"/>
    </w:pPr>
    <w:rPr>
      <w:rFonts w:ascii="Arial"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DAE"/>
    <w:rPr>
      <w:rFonts w:cs="Times New Roman"/>
      <w:sz w:val="16"/>
      <w:szCs w:val="16"/>
    </w:rPr>
  </w:style>
  <w:style w:type="paragraph" w:styleId="BodyTextIndent">
    <w:name w:val="Body Text Indent"/>
    <w:basedOn w:val="Normal"/>
    <w:link w:val="BodyTextIndentChar"/>
    <w:uiPriority w:val="99"/>
    <w:semiHidden/>
    <w:unhideWhenUsed/>
    <w:rsid w:val="004F3510"/>
    <w:pPr>
      <w:spacing w:after="120"/>
      <w:ind w:left="283"/>
    </w:pPr>
  </w:style>
  <w:style w:type="character" w:customStyle="1" w:styleId="BodyTextIndentChar">
    <w:name w:val="Body Text Indent Char"/>
    <w:basedOn w:val="DefaultParagraphFont"/>
    <w:link w:val="BodyTextIndent"/>
    <w:uiPriority w:val="99"/>
    <w:semiHidden/>
    <w:locked/>
    <w:rsid w:val="004F3510"/>
    <w:rPr>
      <w:rFonts w:ascii="Arial" w:hAnsi="Arial" w:cs="Arial"/>
      <w:sz w:val="24"/>
      <w:szCs w:val="24"/>
      <w:lang w:val="x-none" w:eastAsia="en-GB"/>
    </w:rPr>
  </w:style>
  <w:style w:type="paragraph" w:styleId="Revision">
    <w:name w:val="Revision"/>
    <w:hidden/>
    <w:uiPriority w:val="99"/>
    <w:semiHidden/>
    <w:rsid w:val="00FF116C"/>
    <w:pPr>
      <w:spacing w:after="0" w:line="240" w:lineRule="auto"/>
    </w:pPr>
    <w:rPr>
      <w:rFonts w:ascii="Arial" w:hAnsi="Arial" w:cs="Arial"/>
      <w:sz w:val="24"/>
      <w:szCs w:val="24"/>
      <w:lang w:eastAsia="en-GB"/>
    </w:rPr>
  </w:style>
  <w:style w:type="numbering" w:customStyle="1" w:styleId="List1">
    <w:name w:val="List1"/>
    <w:pPr>
      <w:numPr>
        <w:numId w:val="27"/>
      </w:numPr>
    </w:pPr>
  </w:style>
  <w:style w:type="paragraph" w:customStyle="1" w:styleId="Default">
    <w:name w:val="Default"/>
    <w:rsid w:val="00D65E6B"/>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BE2FED"/>
    <w:pPr>
      <w:spacing w:after="0" w:line="240" w:lineRule="auto"/>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69842">
      <w:bodyDiv w:val="1"/>
      <w:marLeft w:val="0"/>
      <w:marRight w:val="0"/>
      <w:marTop w:val="0"/>
      <w:marBottom w:val="0"/>
      <w:divBdr>
        <w:top w:val="none" w:sz="0" w:space="0" w:color="auto"/>
        <w:left w:val="none" w:sz="0" w:space="0" w:color="auto"/>
        <w:bottom w:val="none" w:sz="0" w:space="0" w:color="auto"/>
        <w:right w:val="none" w:sz="0" w:space="0" w:color="auto"/>
      </w:divBdr>
    </w:div>
    <w:div w:id="377240029">
      <w:bodyDiv w:val="1"/>
      <w:marLeft w:val="0"/>
      <w:marRight w:val="0"/>
      <w:marTop w:val="0"/>
      <w:marBottom w:val="0"/>
      <w:divBdr>
        <w:top w:val="none" w:sz="0" w:space="0" w:color="auto"/>
        <w:left w:val="none" w:sz="0" w:space="0" w:color="auto"/>
        <w:bottom w:val="none" w:sz="0" w:space="0" w:color="auto"/>
        <w:right w:val="none" w:sz="0" w:space="0" w:color="auto"/>
      </w:divBdr>
    </w:div>
    <w:div w:id="828523625">
      <w:bodyDiv w:val="1"/>
      <w:marLeft w:val="0"/>
      <w:marRight w:val="0"/>
      <w:marTop w:val="0"/>
      <w:marBottom w:val="0"/>
      <w:divBdr>
        <w:top w:val="none" w:sz="0" w:space="0" w:color="auto"/>
        <w:left w:val="none" w:sz="0" w:space="0" w:color="auto"/>
        <w:bottom w:val="none" w:sz="0" w:space="0" w:color="auto"/>
        <w:right w:val="none" w:sz="0" w:space="0" w:color="auto"/>
      </w:divBdr>
    </w:div>
    <w:div w:id="848838026">
      <w:bodyDiv w:val="1"/>
      <w:marLeft w:val="0"/>
      <w:marRight w:val="0"/>
      <w:marTop w:val="0"/>
      <w:marBottom w:val="0"/>
      <w:divBdr>
        <w:top w:val="none" w:sz="0" w:space="0" w:color="auto"/>
        <w:left w:val="none" w:sz="0" w:space="0" w:color="auto"/>
        <w:bottom w:val="none" w:sz="0" w:space="0" w:color="auto"/>
        <w:right w:val="none" w:sz="0" w:space="0" w:color="auto"/>
      </w:divBdr>
    </w:div>
    <w:div w:id="979529872">
      <w:bodyDiv w:val="1"/>
      <w:marLeft w:val="0"/>
      <w:marRight w:val="0"/>
      <w:marTop w:val="0"/>
      <w:marBottom w:val="0"/>
      <w:divBdr>
        <w:top w:val="none" w:sz="0" w:space="0" w:color="auto"/>
        <w:left w:val="none" w:sz="0" w:space="0" w:color="auto"/>
        <w:bottom w:val="none" w:sz="0" w:space="0" w:color="auto"/>
        <w:right w:val="none" w:sz="0" w:space="0" w:color="auto"/>
      </w:divBdr>
    </w:div>
    <w:div w:id="1151294721">
      <w:bodyDiv w:val="1"/>
      <w:marLeft w:val="0"/>
      <w:marRight w:val="0"/>
      <w:marTop w:val="0"/>
      <w:marBottom w:val="0"/>
      <w:divBdr>
        <w:top w:val="none" w:sz="0" w:space="0" w:color="auto"/>
        <w:left w:val="none" w:sz="0" w:space="0" w:color="auto"/>
        <w:bottom w:val="none" w:sz="0" w:space="0" w:color="auto"/>
        <w:right w:val="none" w:sz="0" w:space="0" w:color="auto"/>
      </w:divBdr>
    </w:div>
    <w:div w:id="1276669632">
      <w:bodyDiv w:val="1"/>
      <w:marLeft w:val="0"/>
      <w:marRight w:val="0"/>
      <w:marTop w:val="0"/>
      <w:marBottom w:val="0"/>
      <w:divBdr>
        <w:top w:val="none" w:sz="0" w:space="0" w:color="auto"/>
        <w:left w:val="none" w:sz="0" w:space="0" w:color="auto"/>
        <w:bottom w:val="none" w:sz="0" w:space="0" w:color="auto"/>
        <w:right w:val="none" w:sz="0" w:space="0" w:color="auto"/>
      </w:divBdr>
    </w:div>
    <w:div w:id="1279413020">
      <w:bodyDiv w:val="1"/>
      <w:marLeft w:val="0"/>
      <w:marRight w:val="0"/>
      <w:marTop w:val="0"/>
      <w:marBottom w:val="0"/>
      <w:divBdr>
        <w:top w:val="none" w:sz="0" w:space="0" w:color="auto"/>
        <w:left w:val="none" w:sz="0" w:space="0" w:color="auto"/>
        <w:bottom w:val="none" w:sz="0" w:space="0" w:color="auto"/>
        <w:right w:val="none" w:sz="0" w:space="0" w:color="auto"/>
      </w:divBdr>
    </w:div>
    <w:div w:id="1676809632">
      <w:bodyDiv w:val="1"/>
      <w:marLeft w:val="0"/>
      <w:marRight w:val="0"/>
      <w:marTop w:val="0"/>
      <w:marBottom w:val="0"/>
      <w:divBdr>
        <w:top w:val="none" w:sz="0" w:space="0" w:color="auto"/>
        <w:left w:val="none" w:sz="0" w:space="0" w:color="auto"/>
        <w:bottom w:val="none" w:sz="0" w:space="0" w:color="auto"/>
        <w:right w:val="none" w:sz="0" w:space="0" w:color="auto"/>
      </w:divBdr>
    </w:div>
    <w:div w:id="1720931752">
      <w:bodyDiv w:val="1"/>
      <w:marLeft w:val="0"/>
      <w:marRight w:val="0"/>
      <w:marTop w:val="0"/>
      <w:marBottom w:val="0"/>
      <w:divBdr>
        <w:top w:val="none" w:sz="0" w:space="0" w:color="auto"/>
        <w:left w:val="none" w:sz="0" w:space="0" w:color="auto"/>
        <w:bottom w:val="none" w:sz="0" w:space="0" w:color="auto"/>
        <w:right w:val="none" w:sz="0" w:space="0" w:color="auto"/>
      </w:divBdr>
    </w:div>
    <w:div w:id="20262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0F5B-FA82-4673-A900-9D5ABAE1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7929</Words>
  <Characters>43110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Graham</dc:creator>
  <cp:lastModifiedBy>Mulligan, Janet</cp:lastModifiedBy>
  <cp:revision>4</cp:revision>
  <cp:lastPrinted>2016-02-02T11:35:00Z</cp:lastPrinted>
  <dcterms:created xsi:type="dcterms:W3CDTF">2016-02-03T10:06:00Z</dcterms:created>
  <dcterms:modified xsi:type="dcterms:W3CDTF">2016-02-03T10:31:00Z</dcterms:modified>
</cp:coreProperties>
</file>